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opLinePunct/>
        <w:jc w:val="center"/>
        <w:rPr>
          <w:rFonts w:ascii="宋体" w:hAnsi="宋体"/>
          <w:b/>
          <w:bCs/>
          <w:sz w:val="32"/>
          <w:szCs w:val="32"/>
        </w:rPr>
      </w:pPr>
      <w:r>
        <w:rPr>
          <w:rFonts w:ascii="宋体" w:hAnsi="宋体"/>
          <w:b/>
          <w:bCs/>
          <w:sz w:val="32"/>
          <w:szCs w:val="32"/>
        </w:rPr>
        <w:t>江苏省中等职业</w:t>
      </w:r>
      <w:r>
        <w:rPr>
          <w:rFonts w:hint="eastAsia" w:ascii="宋体" w:hAnsi="宋体"/>
          <w:b/>
          <w:bCs/>
          <w:sz w:val="32"/>
          <w:szCs w:val="32"/>
        </w:rPr>
        <w:t>学校机械类</w:t>
      </w:r>
      <w:r>
        <w:rPr>
          <w:rFonts w:hint="eastAsia" w:ascii="宋体" w:hAnsi="宋体"/>
          <w:b/>
          <w:bCs/>
          <w:sz w:val="32"/>
          <w:szCs w:val="32"/>
          <w:lang w:val="en-US" w:eastAsia="zh-CN"/>
        </w:rPr>
        <w:t>数控</w:t>
      </w:r>
      <w:r>
        <w:rPr>
          <w:rFonts w:hint="eastAsia" w:ascii="宋体" w:hAnsi="宋体"/>
          <w:b/>
          <w:bCs/>
          <w:sz w:val="32"/>
          <w:szCs w:val="32"/>
        </w:rPr>
        <w:t>技术专业</w:t>
      </w:r>
    </w:p>
    <w:p>
      <w:pPr>
        <w:topLinePunct/>
        <w:jc w:val="center"/>
        <w:rPr>
          <w:rFonts w:ascii="宋体" w:hAnsi="宋体"/>
          <w:b/>
          <w:bCs/>
          <w:sz w:val="32"/>
          <w:szCs w:val="32"/>
        </w:rPr>
      </w:pPr>
      <w:r>
        <w:rPr>
          <w:rFonts w:hint="eastAsia" w:ascii="宋体" w:hAnsi="宋体"/>
          <w:b/>
          <w:bCs/>
          <w:sz w:val="32"/>
          <w:szCs w:val="32"/>
        </w:rPr>
        <w:t>《公差配合与测量技术》课程标准（试行）</w:t>
      </w:r>
      <w:bookmarkStart w:id="0" w:name="_GoBack"/>
      <w:bookmarkEnd w:id="0"/>
    </w:p>
    <w:p>
      <w:pPr>
        <w:widowControl/>
        <w:topLinePunct/>
        <w:ind w:firstLine="546" w:firstLineChars="170"/>
        <w:jc w:val="left"/>
        <w:rPr>
          <w:rFonts w:ascii="宋体" w:hAnsi="宋体" w:cs="仿宋"/>
          <w:b/>
          <w:sz w:val="32"/>
          <w:szCs w:val="32"/>
        </w:rPr>
      </w:pPr>
    </w:p>
    <w:p>
      <w:pPr>
        <w:widowControl/>
        <w:topLinePunct/>
        <w:ind w:firstLine="562" w:firstLineChars="200"/>
        <w:jc w:val="left"/>
        <w:rPr>
          <w:rFonts w:ascii="宋体" w:hAnsi="宋体" w:cs="宋体"/>
          <w:b/>
          <w:kern w:val="0"/>
          <w:sz w:val="28"/>
          <w:szCs w:val="28"/>
        </w:rPr>
      </w:pPr>
      <w:r>
        <w:rPr>
          <w:rFonts w:hint="eastAsia" w:ascii="宋体" w:hAnsi="宋体" w:cs="宋体"/>
          <w:b/>
          <w:kern w:val="0"/>
          <w:sz w:val="28"/>
          <w:szCs w:val="28"/>
        </w:rPr>
        <w:t>一、课程性质</w:t>
      </w:r>
    </w:p>
    <w:p>
      <w:pPr>
        <w:topLinePunct/>
        <w:ind w:firstLine="480" w:firstLineChars="200"/>
        <w:jc w:val="left"/>
        <w:rPr>
          <w:rFonts w:ascii="宋体" w:hAnsi="宋体"/>
          <w:sz w:val="24"/>
        </w:rPr>
      </w:pPr>
      <w:r>
        <w:rPr>
          <w:rFonts w:hint="eastAsia" w:ascii="宋体" w:hAnsi="宋体"/>
          <w:sz w:val="24"/>
        </w:rPr>
        <w:t>本课程是江苏省中等职业学校机械类机械加工技术专业必修的一门专业核心课程，是在《机械制图》《机械基础》等课程基础上，开设的一门理论与实践相结合的专业课程，其任务是让</w:t>
      </w:r>
      <w:r>
        <w:rPr>
          <w:rFonts w:ascii="宋体" w:hAnsi="宋体"/>
          <w:sz w:val="24"/>
        </w:rPr>
        <w:t>学生</w:t>
      </w:r>
      <w:r>
        <w:rPr>
          <w:rFonts w:hint="eastAsia" w:ascii="宋体" w:hAnsi="宋体"/>
          <w:sz w:val="24"/>
        </w:rPr>
        <w:t>掌握公差配合与测量技术等方面的基础知识和基本技能，为后续《机械</w:t>
      </w:r>
      <w:r>
        <w:rPr>
          <w:rFonts w:ascii="宋体" w:hAnsi="宋体"/>
          <w:sz w:val="24"/>
        </w:rPr>
        <w:t>加工实训</w:t>
      </w:r>
      <w:r>
        <w:rPr>
          <w:rFonts w:hint="eastAsia" w:ascii="宋体" w:hAnsi="宋体"/>
          <w:sz w:val="24"/>
        </w:rPr>
        <w:t>》《普通车床加工技术》《普通铣床加工技术》等专业课程学习奠定基础。</w:t>
      </w:r>
    </w:p>
    <w:p>
      <w:pPr>
        <w:widowControl/>
        <w:topLinePunct/>
        <w:ind w:firstLine="562" w:firstLineChars="200"/>
        <w:jc w:val="left"/>
        <w:rPr>
          <w:rFonts w:ascii="宋体" w:hAnsi="宋体" w:cs="宋体"/>
          <w:b/>
          <w:kern w:val="0"/>
          <w:sz w:val="28"/>
          <w:szCs w:val="28"/>
        </w:rPr>
      </w:pPr>
      <w:r>
        <w:rPr>
          <w:rFonts w:hint="eastAsia" w:ascii="宋体" w:hAnsi="宋体" w:cs="宋体"/>
          <w:b/>
          <w:kern w:val="0"/>
          <w:sz w:val="28"/>
          <w:szCs w:val="28"/>
        </w:rPr>
        <w:t>二、学时与学分</w:t>
      </w:r>
    </w:p>
    <w:p>
      <w:pPr>
        <w:topLinePunct/>
        <w:ind w:firstLine="480" w:firstLineChars="200"/>
        <w:jc w:val="left"/>
        <w:rPr>
          <w:rFonts w:ascii="宋体" w:hAnsi="宋体"/>
          <w:bCs/>
          <w:sz w:val="24"/>
        </w:rPr>
      </w:pPr>
      <w:r>
        <w:rPr>
          <w:rFonts w:hint="eastAsia" w:ascii="宋体" w:hAnsi="宋体"/>
          <w:bCs/>
          <w:sz w:val="24"/>
        </w:rPr>
        <w:t>36学</w:t>
      </w:r>
      <w:r>
        <w:rPr>
          <w:rFonts w:ascii="宋体" w:hAnsi="宋体"/>
          <w:bCs/>
          <w:sz w:val="24"/>
        </w:rPr>
        <w:t>时，</w:t>
      </w:r>
      <w:r>
        <w:rPr>
          <w:rFonts w:hint="eastAsia" w:ascii="宋体" w:hAnsi="宋体"/>
          <w:bCs/>
          <w:sz w:val="24"/>
        </w:rPr>
        <w:t>2</w:t>
      </w:r>
      <w:r>
        <w:rPr>
          <w:rFonts w:ascii="宋体" w:hAnsi="宋体"/>
          <w:bCs/>
          <w:sz w:val="24"/>
        </w:rPr>
        <w:t>学分</w:t>
      </w:r>
      <w:r>
        <w:rPr>
          <w:rFonts w:hint="eastAsia" w:ascii="宋体" w:hAnsi="宋体"/>
          <w:bCs/>
          <w:sz w:val="24"/>
        </w:rPr>
        <w:t>。</w:t>
      </w:r>
    </w:p>
    <w:p>
      <w:pPr>
        <w:widowControl/>
        <w:topLinePunct/>
        <w:ind w:firstLine="562" w:firstLineChars="200"/>
        <w:jc w:val="left"/>
        <w:rPr>
          <w:rFonts w:ascii="宋体" w:hAnsi="宋体" w:cs="宋体"/>
          <w:b/>
          <w:kern w:val="0"/>
          <w:sz w:val="28"/>
          <w:szCs w:val="28"/>
        </w:rPr>
      </w:pPr>
      <w:r>
        <w:rPr>
          <w:rFonts w:hint="eastAsia" w:ascii="宋体" w:hAnsi="宋体" w:cs="宋体"/>
          <w:b/>
          <w:kern w:val="0"/>
          <w:sz w:val="28"/>
          <w:szCs w:val="28"/>
        </w:rPr>
        <w:t>三、课程设计思路</w:t>
      </w:r>
    </w:p>
    <w:p>
      <w:pPr>
        <w:topLinePunct/>
        <w:ind w:firstLine="480" w:firstLineChars="200"/>
        <w:jc w:val="left"/>
        <w:rPr>
          <w:rFonts w:ascii="宋体" w:hAnsi="宋体" w:cs="宋体"/>
          <w:sz w:val="24"/>
        </w:rPr>
      </w:pPr>
      <w:r>
        <w:rPr>
          <w:rFonts w:hint="eastAsia" w:ascii="宋体" w:hAnsi="宋体" w:cs="宋体"/>
          <w:sz w:val="24"/>
        </w:rPr>
        <w:t>本课程按照立德树人的要求，突出核心素养、必备品格和关键能力，兼顾中高职课程衔接，高度融合机械加工检测知识技能的学习和职业精神的培养。</w:t>
      </w:r>
    </w:p>
    <w:p>
      <w:pPr>
        <w:topLinePunct/>
        <w:ind w:firstLine="480" w:firstLineChars="200"/>
        <w:jc w:val="left"/>
        <w:rPr>
          <w:rFonts w:ascii="宋体" w:hAnsi="宋体"/>
          <w:sz w:val="24"/>
        </w:rPr>
      </w:pPr>
      <w:r>
        <w:rPr>
          <w:rFonts w:ascii="宋体" w:hAnsi="宋体" w:cs="宋体"/>
          <w:sz w:val="24"/>
        </w:rPr>
        <w:t>1.依据《江苏省中等职业</w:t>
      </w:r>
      <w:r>
        <w:rPr>
          <w:rFonts w:hint="eastAsia" w:ascii="宋体" w:hAnsi="宋体" w:cs="宋体"/>
          <w:sz w:val="24"/>
        </w:rPr>
        <w:t>学校</w:t>
      </w:r>
      <w:r>
        <w:rPr>
          <w:rFonts w:hint="eastAsia" w:ascii="宋体" w:hAnsi="宋体"/>
          <w:sz w:val="24"/>
        </w:rPr>
        <w:t>机械类</w:t>
      </w:r>
      <w:r>
        <w:rPr>
          <w:rFonts w:ascii="宋体" w:hAnsi="宋体" w:cs="宋体"/>
          <w:sz w:val="24"/>
        </w:rPr>
        <w:t>机械加工技术专业指导性人才培养方案》中确定的</w:t>
      </w:r>
      <w:r>
        <w:rPr>
          <w:rFonts w:hint="eastAsia" w:ascii="宋体" w:hAnsi="宋体" w:cs="宋体"/>
          <w:sz w:val="24"/>
        </w:rPr>
        <w:t>培养目标、综合素质、职业能力，按照知识与技能、过程与方法、情感态度与价值观三个维度，突出机械零件测量、常用量具</w:t>
      </w:r>
      <w:r>
        <w:rPr>
          <w:rFonts w:ascii="宋体" w:hAnsi="宋体" w:cs="宋体"/>
          <w:sz w:val="24"/>
        </w:rPr>
        <w:t>量仪的使用与维护</w:t>
      </w:r>
      <w:r>
        <w:rPr>
          <w:rFonts w:hint="eastAsia" w:ascii="宋体" w:hAnsi="宋体" w:cs="宋体"/>
          <w:sz w:val="24"/>
        </w:rPr>
        <w:t>等专业素养及创新务实的职业精神培养，结合本课程的性质和职业教育课程教学的最新理念，确定本课程目标。</w:t>
      </w:r>
    </w:p>
    <w:p>
      <w:pPr>
        <w:topLinePunct/>
        <w:ind w:firstLine="480" w:firstLineChars="200"/>
        <w:jc w:val="left"/>
        <w:rPr>
          <w:rFonts w:ascii="宋体" w:hAnsi="宋体" w:cs="宋体"/>
          <w:sz w:val="24"/>
        </w:rPr>
      </w:pPr>
      <w:r>
        <w:rPr>
          <w:rFonts w:ascii="宋体" w:hAnsi="宋体"/>
          <w:sz w:val="24"/>
        </w:rPr>
        <w:t>2.</w:t>
      </w:r>
      <w:r>
        <w:rPr>
          <w:rFonts w:hint="eastAsia" w:ascii="宋体" w:hAnsi="宋体"/>
          <w:sz w:val="24"/>
        </w:rPr>
        <w:t>根据</w:t>
      </w:r>
      <w:r>
        <w:rPr>
          <w:rFonts w:ascii="宋体" w:hAnsi="宋体"/>
          <w:sz w:val="24"/>
        </w:rPr>
        <w:t>“</w:t>
      </w:r>
      <w:r>
        <w:rPr>
          <w:rFonts w:hint="eastAsia" w:ascii="宋体" w:hAnsi="宋体"/>
          <w:sz w:val="24"/>
        </w:rPr>
        <w:t>江苏省中等职业学校机械</w:t>
      </w:r>
      <w:r>
        <w:rPr>
          <w:rFonts w:ascii="宋体" w:hAnsi="宋体"/>
          <w:sz w:val="24"/>
        </w:rPr>
        <w:t>加工技术</w:t>
      </w:r>
      <w:r>
        <w:rPr>
          <w:rFonts w:hint="eastAsia" w:ascii="宋体" w:hAnsi="宋体"/>
          <w:sz w:val="24"/>
        </w:rPr>
        <w:t>专业‘工作任务与职业能力’分析表</w:t>
      </w:r>
      <w:r>
        <w:rPr>
          <w:rFonts w:ascii="宋体" w:hAnsi="宋体"/>
          <w:sz w:val="24"/>
        </w:rPr>
        <w:t>”</w:t>
      </w:r>
      <w:r>
        <w:rPr>
          <w:rFonts w:hint="eastAsia" w:ascii="宋体" w:hAnsi="宋体"/>
          <w:sz w:val="24"/>
        </w:rPr>
        <w:t>，依据</w:t>
      </w:r>
      <w:r>
        <w:rPr>
          <w:rFonts w:ascii="宋体" w:hAnsi="宋体"/>
          <w:sz w:val="24"/>
        </w:rPr>
        <w:t>课程</w:t>
      </w:r>
      <w:r>
        <w:rPr>
          <w:rFonts w:hint="eastAsia" w:ascii="宋体" w:hAnsi="宋体"/>
          <w:sz w:val="24"/>
        </w:rPr>
        <w:t>目标</w:t>
      </w:r>
      <w:r>
        <w:rPr>
          <w:rFonts w:ascii="宋体" w:hAnsi="宋体"/>
          <w:sz w:val="24"/>
        </w:rPr>
        <w:t>和</w:t>
      </w:r>
      <w:r>
        <w:rPr>
          <w:rFonts w:hint="eastAsia" w:ascii="宋体" w:hAnsi="宋体"/>
          <w:sz w:val="24"/>
        </w:rPr>
        <w:t>机械</w:t>
      </w:r>
      <w:r>
        <w:rPr>
          <w:rFonts w:ascii="宋体" w:hAnsi="宋体"/>
          <w:sz w:val="24"/>
        </w:rPr>
        <w:t>加工操作员等</w:t>
      </w:r>
      <w:r>
        <w:rPr>
          <w:rFonts w:hint="eastAsia" w:ascii="宋体" w:hAnsi="宋体"/>
          <w:sz w:val="24"/>
        </w:rPr>
        <w:t>职业</w:t>
      </w:r>
      <w:r>
        <w:rPr>
          <w:rFonts w:ascii="宋体" w:hAnsi="宋体"/>
          <w:sz w:val="24"/>
        </w:rPr>
        <w:t>岗位需</w:t>
      </w:r>
      <w:r>
        <w:rPr>
          <w:rFonts w:ascii="宋体" w:hAnsi="宋体" w:cs="宋体"/>
          <w:sz w:val="24"/>
        </w:rPr>
        <w:t>求，围绕</w:t>
      </w:r>
      <w:r>
        <w:rPr>
          <w:rFonts w:hint="eastAsia" w:ascii="宋体" w:hAnsi="宋体" w:cs="宋体"/>
          <w:sz w:val="24"/>
        </w:rPr>
        <w:t>机械</w:t>
      </w:r>
      <w:r>
        <w:rPr>
          <w:rFonts w:ascii="宋体" w:hAnsi="宋体" w:cs="宋体"/>
          <w:sz w:val="24"/>
        </w:rPr>
        <w:t>零件测量</w:t>
      </w:r>
      <w:r>
        <w:rPr>
          <w:rFonts w:hint="eastAsia" w:ascii="宋体" w:hAnsi="宋体" w:cs="宋体"/>
          <w:sz w:val="24"/>
        </w:rPr>
        <w:t>及仪器的</w:t>
      </w:r>
      <w:r>
        <w:rPr>
          <w:rFonts w:ascii="宋体" w:hAnsi="宋体" w:cs="宋体"/>
          <w:sz w:val="24"/>
        </w:rPr>
        <w:t>使用</w:t>
      </w:r>
      <w:r>
        <w:rPr>
          <w:rFonts w:hint="eastAsia" w:ascii="宋体" w:hAnsi="宋体" w:cs="宋体"/>
          <w:sz w:val="24"/>
        </w:rPr>
        <w:t>与</w:t>
      </w:r>
      <w:r>
        <w:rPr>
          <w:rFonts w:ascii="宋体" w:hAnsi="宋体" w:cs="宋体"/>
          <w:sz w:val="24"/>
        </w:rPr>
        <w:t>维护</w:t>
      </w:r>
      <w:r>
        <w:rPr>
          <w:rFonts w:hint="eastAsia" w:ascii="宋体" w:hAnsi="宋体" w:cs="宋体"/>
          <w:sz w:val="24"/>
        </w:rPr>
        <w:t>等关键</w:t>
      </w:r>
      <w:r>
        <w:rPr>
          <w:rFonts w:ascii="宋体" w:hAnsi="宋体" w:cs="宋体"/>
          <w:sz w:val="24"/>
        </w:rPr>
        <w:t>能力，</w:t>
      </w:r>
      <w:r>
        <w:rPr>
          <w:rFonts w:hint="eastAsia" w:ascii="宋体" w:hAnsi="宋体" w:cs="宋体"/>
          <w:sz w:val="24"/>
        </w:rPr>
        <w:t>体现</w:t>
      </w:r>
      <w:r>
        <w:rPr>
          <w:rFonts w:ascii="宋体" w:hAnsi="宋体" w:cs="宋体"/>
          <w:sz w:val="24"/>
        </w:rPr>
        <w:t>科学性、适用性原则，确定本课程内容</w:t>
      </w:r>
      <w:r>
        <w:rPr>
          <w:rFonts w:hint="eastAsia" w:ascii="宋体" w:hAnsi="宋体" w:cs="宋体"/>
          <w:sz w:val="24"/>
        </w:rPr>
        <w:t>。</w:t>
      </w:r>
    </w:p>
    <w:p>
      <w:pPr>
        <w:topLinePunct/>
        <w:adjustRightInd w:val="0"/>
        <w:ind w:firstLine="480" w:firstLineChars="200"/>
        <w:jc w:val="left"/>
        <w:rPr>
          <w:rFonts w:ascii="宋体" w:hAnsi="宋体" w:cs="宋体"/>
          <w:sz w:val="24"/>
        </w:rPr>
      </w:pPr>
      <w:r>
        <w:rPr>
          <w:rFonts w:ascii="宋体" w:hAnsi="宋体" w:cs="宋体"/>
          <w:sz w:val="24"/>
        </w:rPr>
        <w:t>3.</w:t>
      </w:r>
      <w:r>
        <w:rPr>
          <w:rFonts w:hint="eastAsia" w:ascii="宋体" w:hAnsi="宋体" w:cs="宋体"/>
          <w:sz w:val="24"/>
        </w:rPr>
        <w:t>以公差</w:t>
      </w:r>
      <w:r>
        <w:rPr>
          <w:rFonts w:ascii="宋体" w:hAnsi="宋体" w:cs="宋体"/>
          <w:sz w:val="24"/>
        </w:rPr>
        <w:t>与配合</w:t>
      </w:r>
      <w:r>
        <w:rPr>
          <w:rFonts w:hint="eastAsia" w:ascii="宋体" w:hAnsi="宋体" w:cs="宋体"/>
          <w:sz w:val="24"/>
        </w:rPr>
        <w:t>、常用量具量仪的使用、表面粗糙度测量为主线</w:t>
      </w:r>
      <w:r>
        <w:rPr>
          <w:rFonts w:ascii="宋体" w:hAnsi="宋体" w:cs="宋体"/>
          <w:sz w:val="24"/>
        </w:rPr>
        <w:t>，将公差配合与测量技术</w:t>
      </w:r>
      <w:r>
        <w:rPr>
          <w:rFonts w:hint="eastAsia" w:ascii="宋体" w:hAnsi="宋体" w:cs="宋体"/>
          <w:sz w:val="24"/>
        </w:rPr>
        <w:t>基础</w:t>
      </w:r>
      <w:r>
        <w:rPr>
          <w:rFonts w:ascii="宋体" w:hAnsi="宋体" w:cs="宋体"/>
          <w:sz w:val="24"/>
        </w:rPr>
        <w:t>知识、</w:t>
      </w:r>
      <w:r>
        <w:rPr>
          <w:rFonts w:hint="eastAsia" w:ascii="宋体" w:hAnsi="宋体" w:cs="宋体"/>
          <w:sz w:val="24"/>
        </w:rPr>
        <w:t>基本</w:t>
      </w:r>
      <w:r>
        <w:rPr>
          <w:rFonts w:ascii="宋体" w:hAnsi="宋体" w:cs="宋体"/>
          <w:sz w:val="24"/>
        </w:rPr>
        <w:t>技能</w:t>
      </w:r>
      <w:r>
        <w:rPr>
          <w:rFonts w:hint="eastAsia" w:ascii="宋体" w:hAnsi="宋体" w:cs="宋体"/>
          <w:sz w:val="24"/>
        </w:rPr>
        <w:t>与</w:t>
      </w:r>
      <w:r>
        <w:rPr>
          <w:rFonts w:ascii="宋体" w:hAnsi="宋体" w:cs="宋体"/>
          <w:sz w:val="24"/>
        </w:rPr>
        <w:t>职业素养</w:t>
      </w:r>
      <w:r>
        <w:rPr>
          <w:rFonts w:hint="eastAsia" w:ascii="宋体" w:hAnsi="宋体" w:cs="宋体"/>
          <w:sz w:val="24"/>
        </w:rPr>
        <w:t>有机融入所设置的模块和教学单元。遵循学生认知规律，参考学生的生活经验，序化教学内容。</w:t>
      </w:r>
    </w:p>
    <w:p>
      <w:pPr>
        <w:widowControl/>
        <w:topLinePunct/>
        <w:ind w:firstLine="562" w:firstLineChars="200"/>
        <w:jc w:val="left"/>
        <w:rPr>
          <w:rFonts w:ascii="宋体" w:hAnsi="宋体" w:cs="宋体"/>
          <w:b/>
          <w:kern w:val="0"/>
          <w:sz w:val="28"/>
          <w:szCs w:val="28"/>
        </w:rPr>
      </w:pPr>
      <w:r>
        <w:rPr>
          <w:rFonts w:hint="eastAsia" w:ascii="宋体" w:hAnsi="宋体" w:cs="宋体"/>
          <w:b/>
          <w:kern w:val="0"/>
          <w:sz w:val="28"/>
          <w:szCs w:val="28"/>
        </w:rPr>
        <w:t>四、课程目标</w:t>
      </w:r>
    </w:p>
    <w:p>
      <w:pPr>
        <w:topLinePunct/>
        <w:ind w:firstLine="480" w:firstLineChars="200"/>
        <w:jc w:val="left"/>
        <w:rPr>
          <w:rFonts w:ascii="宋体" w:hAnsi="宋体" w:cs="宋体"/>
          <w:sz w:val="24"/>
        </w:rPr>
      </w:pPr>
      <w:r>
        <w:rPr>
          <w:rFonts w:hint="eastAsia" w:ascii="宋体" w:hAnsi="宋体" w:cs="宋体"/>
          <w:sz w:val="24"/>
        </w:rPr>
        <w:t>学生通过学习本课程，掌握机械加工检测技术的基础知识与基本技能，具备一般机械产品的尺寸、几何公差及表面质量的检测和分析能力，形成良好的职业道德和正确的职业观念。</w:t>
      </w:r>
    </w:p>
    <w:p>
      <w:pPr>
        <w:topLinePunct/>
        <w:ind w:firstLine="480" w:firstLineChars="200"/>
        <w:jc w:val="left"/>
        <w:rPr>
          <w:rFonts w:ascii="宋体" w:hAnsi="宋体" w:cs="宋体"/>
          <w:sz w:val="24"/>
        </w:rPr>
      </w:pPr>
      <w:r>
        <w:rPr>
          <w:rFonts w:ascii="宋体" w:hAnsi="宋体" w:cs="宋体"/>
          <w:sz w:val="24"/>
        </w:rPr>
        <w:t>1.了解</w:t>
      </w:r>
      <w:r>
        <w:rPr>
          <w:rFonts w:hint="eastAsia" w:ascii="宋体" w:hAnsi="宋体" w:cs="宋体"/>
          <w:sz w:val="24"/>
        </w:rPr>
        <w:t>公差配合</w:t>
      </w:r>
      <w:r>
        <w:rPr>
          <w:rFonts w:ascii="宋体" w:hAnsi="宋体" w:cs="宋体"/>
          <w:sz w:val="24"/>
        </w:rPr>
        <w:t>的基本概念</w:t>
      </w:r>
      <w:r>
        <w:rPr>
          <w:rFonts w:hint="eastAsia" w:ascii="宋体" w:hAnsi="宋体" w:cs="宋体"/>
          <w:sz w:val="24"/>
        </w:rPr>
        <w:t>及公差标准的基本规定及先进</w:t>
      </w:r>
      <w:r>
        <w:rPr>
          <w:rFonts w:ascii="宋体" w:hAnsi="宋体" w:cs="宋体"/>
          <w:sz w:val="24"/>
        </w:rPr>
        <w:t>测量</w:t>
      </w:r>
      <w:r>
        <w:rPr>
          <w:rFonts w:hint="eastAsia" w:ascii="宋体" w:hAnsi="宋体" w:cs="宋体"/>
          <w:sz w:val="24"/>
        </w:rPr>
        <w:t>技术。</w:t>
      </w:r>
    </w:p>
    <w:p>
      <w:pPr>
        <w:topLinePunct/>
        <w:ind w:firstLine="480" w:firstLineChars="200"/>
        <w:jc w:val="left"/>
        <w:rPr>
          <w:rFonts w:ascii="宋体" w:hAnsi="宋体" w:cs="宋体"/>
          <w:sz w:val="24"/>
        </w:rPr>
      </w:pPr>
      <w:r>
        <w:rPr>
          <w:rFonts w:ascii="宋体" w:hAnsi="宋体" w:cs="宋体"/>
          <w:sz w:val="24"/>
        </w:rPr>
        <w:t>2.正确识读图样上常用各种几何公差</w:t>
      </w:r>
      <w:r>
        <w:rPr>
          <w:rFonts w:hint="eastAsia" w:ascii="宋体" w:hAnsi="宋体" w:cs="宋体"/>
          <w:sz w:val="24"/>
        </w:rPr>
        <w:t>的</w:t>
      </w:r>
      <w:r>
        <w:rPr>
          <w:rFonts w:ascii="宋体" w:hAnsi="宋体" w:cs="宋体"/>
          <w:sz w:val="24"/>
        </w:rPr>
        <w:t>含义</w:t>
      </w:r>
      <w:r>
        <w:rPr>
          <w:rFonts w:hint="eastAsia" w:ascii="宋体" w:hAnsi="宋体" w:cs="宋体"/>
          <w:sz w:val="24"/>
        </w:rPr>
        <w:t>，</w:t>
      </w:r>
      <w:r>
        <w:rPr>
          <w:rFonts w:ascii="宋体" w:hAnsi="宋体" w:cs="宋体"/>
          <w:sz w:val="24"/>
        </w:rPr>
        <w:t>能</w:t>
      </w:r>
      <w:r>
        <w:rPr>
          <w:rFonts w:hint="eastAsia" w:ascii="宋体" w:hAnsi="宋体" w:cs="宋体"/>
          <w:sz w:val="24"/>
        </w:rPr>
        <w:t>正确</w:t>
      </w:r>
      <w:r>
        <w:rPr>
          <w:rFonts w:ascii="宋体" w:hAnsi="宋体" w:cs="宋体"/>
          <w:sz w:val="24"/>
        </w:rPr>
        <w:t>标注</w:t>
      </w:r>
      <w:r>
        <w:rPr>
          <w:rFonts w:hint="eastAsia" w:ascii="宋体" w:hAnsi="宋体" w:cs="宋体"/>
          <w:sz w:val="24"/>
        </w:rPr>
        <w:t>几何公差。</w:t>
      </w:r>
    </w:p>
    <w:p>
      <w:pPr>
        <w:topLinePunct/>
        <w:ind w:firstLine="480" w:firstLineChars="200"/>
        <w:jc w:val="left"/>
        <w:rPr>
          <w:rFonts w:ascii="宋体" w:hAnsi="宋体" w:cs="宋体"/>
          <w:sz w:val="24"/>
        </w:rPr>
      </w:pPr>
      <w:r>
        <w:rPr>
          <w:rFonts w:ascii="宋体" w:hAnsi="宋体" w:cs="宋体"/>
          <w:sz w:val="24"/>
        </w:rPr>
        <w:t>3.</w:t>
      </w:r>
      <w:r>
        <w:rPr>
          <w:rFonts w:hint="eastAsia" w:ascii="宋体" w:hAnsi="宋体" w:cs="宋体"/>
          <w:sz w:val="24"/>
        </w:rPr>
        <w:t>掌握常用量具量仪的正确使用与维护方法，能正确选用和使用现场量具检测产品。</w:t>
      </w:r>
    </w:p>
    <w:p>
      <w:pPr>
        <w:topLinePunct/>
        <w:ind w:firstLine="480" w:firstLineChars="200"/>
        <w:jc w:val="left"/>
        <w:rPr>
          <w:rFonts w:ascii="宋体" w:hAnsi="宋体" w:cs="宋体"/>
          <w:sz w:val="24"/>
        </w:rPr>
      </w:pPr>
      <w:r>
        <w:rPr>
          <w:rFonts w:ascii="宋体" w:hAnsi="宋体" w:cs="宋体"/>
          <w:sz w:val="24"/>
        </w:rPr>
        <w:t>4.</w:t>
      </w:r>
      <w:r>
        <w:rPr>
          <w:rFonts w:hint="eastAsia" w:ascii="宋体" w:hAnsi="宋体" w:cs="宋体"/>
          <w:sz w:val="24"/>
        </w:rPr>
        <w:t>理解</w:t>
      </w:r>
      <w:r>
        <w:rPr>
          <w:rFonts w:ascii="宋体" w:hAnsi="宋体" w:cs="宋体"/>
          <w:sz w:val="24"/>
        </w:rPr>
        <w:t>表面粗糙度的概念和参数</w:t>
      </w:r>
      <w:r>
        <w:rPr>
          <w:rFonts w:hint="eastAsia" w:ascii="宋体" w:hAnsi="宋体" w:cs="宋体"/>
          <w:sz w:val="24"/>
        </w:rPr>
        <w:t>，会检测零件</w:t>
      </w:r>
      <w:r>
        <w:rPr>
          <w:rFonts w:ascii="宋体" w:hAnsi="宋体" w:cs="宋体"/>
          <w:sz w:val="24"/>
        </w:rPr>
        <w:t>表</w:t>
      </w:r>
      <w:r>
        <w:rPr>
          <w:rFonts w:hint="eastAsia" w:ascii="宋体" w:hAnsi="宋体" w:cs="宋体"/>
          <w:sz w:val="24"/>
        </w:rPr>
        <w:t>面</w:t>
      </w:r>
      <w:r>
        <w:rPr>
          <w:rFonts w:ascii="宋体" w:hAnsi="宋体" w:cs="宋体"/>
          <w:sz w:val="24"/>
        </w:rPr>
        <w:t>粗糙度并正确分析零件的表面质量问题</w:t>
      </w:r>
      <w:r>
        <w:rPr>
          <w:rFonts w:hint="eastAsia" w:ascii="宋体" w:hAnsi="宋体" w:cs="宋体"/>
          <w:sz w:val="24"/>
        </w:rPr>
        <w:t>。</w:t>
      </w:r>
    </w:p>
    <w:p>
      <w:pPr>
        <w:topLinePunct/>
        <w:ind w:firstLine="480" w:firstLineChars="200"/>
        <w:jc w:val="left"/>
        <w:rPr>
          <w:rFonts w:ascii="宋体" w:hAnsi="宋体" w:cs="宋体"/>
          <w:sz w:val="24"/>
        </w:rPr>
      </w:pPr>
      <w:r>
        <w:rPr>
          <w:rFonts w:ascii="宋体" w:hAnsi="宋体" w:cs="宋体"/>
          <w:sz w:val="24"/>
        </w:rPr>
        <w:t>5.</w:t>
      </w:r>
      <w:r>
        <w:rPr>
          <w:rFonts w:hint="eastAsia" w:ascii="宋体" w:hAnsi="宋体" w:cs="宋体"/>
          <w:sz w:val="24"/>
        </w:rPr>
        <w:t>具有独立思考问题、分析问题、解决问题的能力；具有环保意识、团队意识和集体意识；具有良好的职业道德、职业操守和严谨求实的精神。</w:t>
      </w:r>
    </w:p>
    <w:p>
      <w:pPr>
        <w:widowControl/>
        <w:numPr>
          <w:ilvl w:val="0"/>
          <w:numId w:val="1"/>
        </w:numPr>
        <w:topLinePunct/>
        <w:ind w:firstLine="562" w:firstLineChars="200"/>
        <w:jc w:val="left"/>
        <w:rPr>
          <w:rFonts w:ascii="宋体" w:hAnsi="宋体" w:cs="宋体"/>
          <w:b/>
          <w:kern w:val="0"/>
          <w:sz w:val="28"/>
          <w:szCs w:val="28"/>
        </w:rPr>
      </w:pPr>
      <w:r>
        <w:rPr>
          <w:rFonts w:hint="eastAsia" w:ascii="宋体" w:hAnsi="宋体" w:cs="宋体"/>
          <w:b/>
          <w:kern w:val="0"/>
          <w:sz w:val="28"/>
          <w:szCs w:val="28"/>
        </w:rPr>
        <w:t>课程内容与要求</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1"/>
        <w:gridCol w:w="1432"/>
        <w:gridCol w:w="5035"/>
        <w:gridCol w:w="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231" w:type="dxa"/>
            <w:vAlign w:val="center"/>
          </w:tcPr>
          <w:p>
            <w:pPr>
              <w:widowControl/>
              <w:topLinePunct/>
              <w:jc w:val="center"/>
              <w:rPr>
                <w:rFonts w:ascii="宋体" w:hAnsi="宋体" w:cs="宋体"/>
                <w:b/>
                <w:kern w:val="0"/>
                <w:sz w:val="24"/>
              </w:rPr>
            </w:pPr>
            <w:r>
              <w:rPr>
                <w:rFonts w:hint="eastAsia" w:ascii="宋体" w:hAnsi="宋体"/>
                <w:b/>
                <w:sz w:val="24"/>
              </w:rPr>
              <w:t>模块</w:t>
            </w:r>
          </w:p>
        </w:tc>
        <w:tc>
          <w:tcPr>
            <w:tcW w:w="1432" w:type="dxa"/>
            <w:vAlign w:val="center"/>
          </w:tcPr>
          <w:p>
            <w:pPr>
              <w:widowControl/>
              <w:topLinePunct/>
              <w:jc w:val="center"/>
              <w:rPr>
                <w:rFonts w:ascii="宋体" w:hAnsi="宋体" w:cs="宋体"/>
                <w:b/>
                <w:kern w:val="0"/>
                <w:sz w:val="24"/>
              </w:rPr>
            </w:pPr>
            <w:r>
              <w:rPr>
                <w:rFonts w:hint="eastAsia" w:ascii="宋体" w:hAnsi="宋体"/>
                <w:b/>
                <w:sz w:val="24"/>
              </w:rPr>
              <w:t>教学单元</w:t>
            </w:r>
          </w:p>
        </w:tc>
        <w:tc>
          <w:tcPr>
            <w:tcW w:w="5035" w:type="dxa"/>
            <w:vAlign w:val="center"/>
          </w:tcPr>
          <w:p>
            <w:pPr>
              <w:widowControl/>
              <w:topLinePunct/>
              <w:jc w:val="center"/>
              <w:rPr>
                <w:rFonts w:ascii="宋体" w:hAnsi="宋体" w:cs="宋体"/>
                <w:b/>
                <w:kern w:val="0"/>
                <w:sz w:val="24"/>
              </w:rPr>
            </w:pPr>
            <w:r>
              <w:rPr>
                <w:rFonts w:hint="eastAsia" w:ascii="宋体" w:hAnsi="宋体"/>
                <w:b/>
                <w:sz w:val="24"/>
              </w:rPr>
              <w:t>内容及要求</w:t>
            </w:r>
          </w:p>
        </w:tc>
        <w:tc>
          <w:tcPr>
            <w:tcW w:w="824" w:type="dxa"/>
            <w:vAlign w:val="center"/>
          </w:tcPr>
          <w:p>
            <w:pPr>
              <w:jc w:val="center"/>
              <w:rPr>
                <w:rFonts w:ascii="宋体" w:hAnsi="宋体"/>
                <w:b/>
                <w:sz w:val="24"/>
              </w:rPr>
            </w:pPr>
            <w:r>
              <w:rPr>
                <w:rFonts w:hint="eastAsia" w:ascii="宋体" w:hAnsi="宋体"/>
                <w:b/>
                <w:sz w:val="24"/>
              </w:rPr>
              <w:t>参考</w:t>
            </w:r>
          </w:p>
          <w:p>
            <w:pPr>
              <w:widowControl/>
              <w:topLinePunct/>
              <w:jc w:val="center"/>
              <w:rPr>
                <w:rFonts w:ascii="宋体" w:hAnsi="宋体" w:cs="宋体"/>
                <w:b/>
                <w:kern w:val="0"/>
                <w:sz w:val="24"/>
              </w:rPr>
            </w:pPr>
            <w:r>
              <w:rPr>
                <w:rFonts w:hint="eastAsia" w:ascii="宋体" w:hAnsi="宋体"/>
                <w:b/>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restart"/>
            <w:vAlign w:val="center"/>
          </w:tcPr>
          <w:p>
            <w:pPr>
              <w:widowControl/>
              <w:topLinePunct/>
              <w:jc w:val="center"/>
              <w:rPr>
                <w:rFonts w:ascii="宋体" w:hAnsi="宋体"/>
                <w:sz w:val="24"/>
              </w:rPr>
            </w:pPr>
            <w:r>
              <w:rPr>
                <w:rFonts w:hint="eastAsia" w:ascii="宋体" w:hAnsi="宋体"/>
                <w:sz w:val="24"/>
              </w:rPr>
              <w:t>公差与配合基础</w:t>
            </w:r>
            <w:r>
              <w:rPr>
                <w:rFonts w:ascii="宋体" w:hAnsi="宋体"/>
                <w:sz w:val="24"/>
              </w:rPr>
              <w:t>知识</w:t>
            </w:r>
          </w:p>
          <w:p>
            <w:pPr>
              <w:widowControl/>
              <w:topLinePunct/>
              <w:jc w:val="center"/>
              <w:rPr>
                <w:rFonts w:ascii="宋体" w:hAnsi="宋体" w:cs="宋体"/>
                <w:kern w:val="0"/>
                <w:sz w:val="24"/>
              </w:rPr>
            </w:pPr>
          </w:p>
        </w:tc>
        <w:tc>
          <w:tcPr>
            <w:tcW w:w="1432" w:type="dxa"/>
            <w:vAlign w:val="center"/>
          </w:tcPr>
          <w:p>
            <w:pPr>
              <w:widowControl/>
              <w:topLinePunct/>
              <w:jc w:val="center"/>
              <w:rPr>
                <w:rFonts w:ascii="宋体" w:hAnsi="宋体"/>
                <w:sz w:val="24"/>
              </w:rPr>
            </w:pPr>
            <w:r>
              <w:rPr>
                <w:rFonts w:hint="eastAsia" w:ascii="宋体" w:hAnsi="宋体"/>
                <w:sz w:val="24"/>
              </w:rPr>
              <w:t>公差配合的基本概念</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1.了解互换性</w:t>
            </w:r>
            <w:r>
              <w:rPr>
                <w:rFonts w:ascii="宋体" w:hAnsi="宋体" w:cs="宋体"/>
                <w:spacing w:val="-4"/>
                <w:sz w:val="24"/>
                <w:szCs w:val="24"/>
              </w:rPr>
              <w:t>的基本</w:t>
            </w:r>
            <w:r>
              <w:rPr>
                <w:rFonts w:hint="eastAsia" w:ascii="宋体" w:hAnsi="宋体" w:cs="宋体"/>
                <w:spacing w:val="-4"/>
                <w:sz w:val="24"/>
                <w:szCs w:val="24"/>
              </w:rPr>
              <w:t>知识；</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2.理解尺寸偏差、公差的概念以及特点；</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理解尺寸公差带图的含义；</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4.</w:t>
            </w:r>
            <w:r>
              <w:rPr>
                <w:rFonts w:hint="eastAsia" w:ascii="宋体" w:hAnsi="宋体" w:cs="宋体"/>
                <w:spacing w:val="-4"/>
                <w:sz w:val="24"/>
                <w:szCs w:val="24"/>
              </w:rPr>
              <w:t>能根据孔、轴公差带位置或极限偏差确定配合的种类；</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5.熟练掌握配合间隙和过盈的计算</w:t>
            </w:r>
          </w:p>
        </w:tc>
        <w:tc>
          <w:tcPr>
            <w:tcW w:w="824" w:type="dxa"/>
            <w:vAlign w:val="center"/>
          </w:tcPr>
          <w:p>
            <w:pPr>
              <w:widowControl/>
              <w:topLinePunct/>
              <w:jc w:val="center"/>
              <w:rPr>
                <w:rFonts w:ascii="宋体" w:hAnsi="宋体"/>
                <w:sz w:val="24"/>
              </w:rPr>
            </w:pPr>
            <w:r>
              <w:rPr>
                <w:rFonts w:hint="eastAsia" w:ascii="宋体" w:hAnsi="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continue"/>
            <w:vAlign w:val="center"/>
          </w:tcPr>
          <w:p>
            <w:pPr>
              <w:widowControl/>
              <w:topLinePunct/>
              <w:jc w:val="center"/>
              <w:rPr>
                <w:rFonts w:ascii="宋体" w:hAnsi="宋体" w:cs="宋体"/>
                <w:kern w:val="0"/>
                <w:sz w:val="24"/>
              </w:rPr>
            </w:pPr>
          </w:p>
        </w:tc>
        <w:tc>
          <w:tcPr>
            <w:tcW w:w="1432" w:type="dxa"/>
            <w:vAlign w:val="center"/>
          </w:tcPr>
          <w:p>
            <w:pPr>
              <w:widowControl/>
              <w:topLinePunct/>
              <w:jc w:val="center"/>
              <w:rPr>
                <w:rFonts w:ascii="宋体" w:hAnsi="宋体"/>
                <w:sz w:val="24"/>
              </w:rPr>
            </w:pPr>
            <w:r>
              <w:rPr>
                <w:rFonts w:hint="eastAsia" w:ascii="宋体" w:hAnsi="宋体"/>
                <w:sz w:val="24"/>
              </w:rPr>
              <w:t>公差配合的基本规定</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1.了解线性尺寸的一般公差；</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2.理解标准公差和基本偏差；</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3.掌握标准公差数值表和基本偏差数值表的查表方法；</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4.理解尺寸公差带代号，掌握极限偏差表的查表方法；</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5.理解基孔制配合和基轴制配合的特点，理解配合代号</w:t>
            </w:r>
          </w:p>
        </w:tc>
        <w:tc>
          <w:tcPr>
            <w:tcW w:w="824" w:type="dxa"/>
            <w:vAlign w:val="center"/>
          </w:tcPr>
          <w:p>
            <w:pPr>
              <w:widowControl/>
              <w:topLinePunct/>
              <w:jc w:val="center"/>
              <w:rPr>
                <w:rFonts w:ascii="宋体" w:hAnsi="宋体"/>
                <w:sz w:val="24"/>
              </w:rPr>
            </w:pPr>
            <w:r>
              <w:rPr>
                <w:rFonts w:hint="eastAsia" w:ascii="宋体" w:hAnsi="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restart"/>
            <w:vAlign w:val="center"/>
          </w:tcPr>
          <w:p>
            <w:pPr>
              <w:topLinePunct/>
              <w:jc w:val="center"/>
              <w:rPr>
                <w:rFonts w:ascii="宋体" w:hAnsi="宋体" w:cs="宋体"/>
                <w:kern w:val="0"/>
                <w:sz w:val="24"/>
              </w:rPr>
            </w:pPr>
            <w:r>
              <w:rPr>
                <w:rFonts w:hint="eastAsia" w:ascii="宋体" w:hAnsi="宋体" w:cs="宋体"/>
                <w:kern w:val="0"/>
                <w:sz w:val="24"/>
              </w:rPr>
              <w:t>几何公差</w:t>
            </w:r>
          </w:p>
        </w:tc>
        <w:tc>
          <w:tcPr>
            <w:tcW w:w="1432" w:type="dxa"/>
            <w:vAlign w:val="center"/>
          </w:tcPr>
          <w:p>
            <w:pPr>
              <w:widowControl/>
              <w:topLinePunct/>
              <w:jc w:val="center"/>
              <w:rPr>
                <w:rFonts w:ascii="宋体" w:hAnsi="宋体"/>
                <w:sz w:val="24"/>
              </w:rPr>
            </w:pPr>
            <w:r>
              <w:rPr>
                <w:rFonts w:hint="eastAsia" w:ascii="宋体" w:hAnsi="宋体"/>
                <w:sz w:val="24"/>
              </w:rPr>
              <w:t>几何公差的识读</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1.</w:t>
            </w:r>
            <w:r>
              <w:rPr>
                <w:rFonts w:hint="eastAsia" w:ascii="宋体" w:hAnsi="宋体" w:cs="宋体"/>
                <w:spacing w:val="-4"/>
                <w:sz w:val="24"/>
                <w:szCs w:val="24"/>
              </w:rPr>
              <w:t>了</w:t>
            </w:r>
            <w:r>
              <w:rPr>
                <w:rFonts w:ascii="宋体" w:hAnsi="宋体" w:cs="宋体"/>
                <w:spacing w:val="-4"/>
                <w:sz w:val="24"/>
                <w:szCs w:val="24"/>
              </w:rPr>
              <w:t>解与几何公差有关的各种几何要素的定义及其特点；</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2.熟悉几何公差的项目分类、项目名称及对应的符号</w:t>
            </w:r>
          </w:p>
        </w:tc>
        <w:tc>
          <w:tcPr>
            <w:tcW w:w="824" w:type="dxa"/>
            <w:vMerge w:val="restart"/>
            <w:vAlign w:val="center"/>
          </w:tcPr>
          <w:p>
            <w:pPr>
              <w:widowControl/>
              <w:topLinePunct/>
              <w:jc w:val="center"/>
              <w:rPr>
                <w:rFonts w:ascii="宋体" w:hAnsi="宋体"/>
                <w:sz w:val="24"/>
              </w:rPr>
            </w:pPr>
            <w:r>
              <w:rPr>
                <w:rFonts w:hint="eastAsia" w:ascii="宋体" w:hAnsi="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continue"/>
            <w:vAlign w:val="center"/>
          </w:tcPr>
          <w:p>
            <w:pPr>
              <w:topLinePunct/>
              <w:jc w:val="center"/>
              <w:rPr>
                <w:rFonts w:ascii="宋体" w:hAnsi="宋体" w:cs="宋体"/>
                <w:kern w:val="0"/>
                <w:sz w:val="24"/>
              </w:rPr>
            </w:pPr>
          </w:p>
        </w:tc>
        <w:tc>
          <w:tcPr>
            <w:tcW w:w="1432" w:type="dxa"/>
            <w:vAlign w:val="center"/>
          </w:tcPr>
          <w:p>
            <w:pPr>
              <w:widowControl/>
              <w:topLinePunct/>
              <w:jc w:val="center"/>
              <w:rPr>
                <w:rFonts w:ascii="宋体" w:hAnsi="宋体"/>
                <w:sz w:val="24"/>
              </w:rPr>
            </w:pPr>
            <w:r>
              <w:rPr>
                <w:rFonts w:hint="eastAsia" w:ascii="宋体" w:hAnsi="宋体"/>
                <w:sz w:val="24"/>
              </w:rPr>
              <w:t>几何公差的标注</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1</w:t>
            </w:r>
            <w:r>
              <w:rPr>
                <w:rFonts w:hint="eastAsia" w:ascii="宋体" w:hAnsi="宋体" w:cs="宋体"/>
                <w:spacing w:val="-4"/>
                <w:sz w:val="24"/>
                <w:szCs w:val="24"/>
              </w:rPr>
              <w:t>.掌握几何公差</w:t>
            </w:r>
            <w:r>
              <w:rPr>
                <w:rFonts w:ascii="宋体" w:hAnsi="宋体" w:cs="宋体"/>
                <w:spacing w:val="-4"/>
                <w:sz w:val="24"/>
                <w:szCs w:val="24"/>
              </w:rPr>
              <w:t>的标注方法；</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2.了解几何公差的定义及几何公差带的含义</w:t>
            </w:r>
          </w:p>
        </w:tc>
        <w:tc>
          <w:tcPr>
            <w:tcW w:w="824" w:type="dxa"/>
            <w:vMerge w:val="continue"/>
            <w:vAlign w:val="center"/>
          </w:tcPr>
          <w:p>
            <w:pPr>
              <w:widowControl/>
              <w:topLinePun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restart"/>
            <w:vAlign w:val="center"/>
          </w:tcPr>
          <w:p>
            <w:pPr>
              <w:widowControl/>
              <w:topLinePunct/>
              <w:jc w:val="center"/>
              <w:rPr>
                <w:rFonts w:ascii="宋体" w:hAnsi="宋体" w:cs="宋体"/>
                <w:kern w:val="0"/>
                <w:sz w:val="24"/>
              </w:rPr>
            </w:pPr>
            <w:r>
              <w:rPr>
                <w:rFonts w:hint="eastAsia" w:ascii="宋体" w:hAnsi="宋体"/>
                <w:sz w:val="24"/>
              </w:rPr>
              <w:t>常用量具量仪的使用和</w:t>
            </w:r>
            <w:r>
              <w:rPr>
                <w:rFonts w:ascii="宋体" w:hAnsi="宋体"/>
                <w:sz w:val="24"/>
              </w:rPr>
              <w:t>维护</w:t>
            </w:r>
          </w:p>
        </w:tc>
        <w:tc>
          <w:tcPr>
            <w:tcW w:w="1432" w:type="dxa"/>
            <w:vAlign w:val="center"/>
          </w:tcPr>
          <w:p>
            <w:pPr>
              <w:widowControl/>
              <w:topLinePunct/>
              <w:jc w:val="center"/>
              <w:rPr>
                <w:rFonts w:ascii="宋体" w:hAnsi="宋体" w:cs="宋体"/>
                <w:kern w:val="0"/>
                <w:sz w:val="24"/>
              </w:rPr>
            </w:pPr>
            <w:r>
              <w:rPr>
                <w:rFonts w:hint="eastAsia" w:ascii="宋体" w:hAnsi="宋体"/>
                <w:sz w:val="24"/>
              </w:rPr>
              <w:t>机械测量基础知识</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1.理解机械测量技术的常用名词、术语及定义；</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2.熟悉常用计量单位及其换算方法；</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3.掌握机械测量的基本概念</w:t>
            </w:r>
            <w:r>
              <w:rPr>
                <w:rFonts w:hint="eastAsia" w:ascii="宋体" w:hAnsi="宋体" w:cs="宋体"/>
                <w:spacing w:val="-4"/>
                <w:sz w:val="24"/>
                <w:szCs w:val="24"/>
              </w:rPr>
              <w:t>；</w:t>
            </w:r>
          </w:p>
          <w:p>
            <w:pPr>
              <w:pStyle w:val="19"/>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4</w:t>
            </w:r>
            <w:r>
              <w:rPr>
                <w:rFonts w:ascii="宋体" w:hAnsi="宋体" w:cs="宋体"/>
                <w:spacing w:val="-4"/>
                <w:sz w:val="24"/>
                <w:szCs w:val="24"/>
              </w:rPr>
              <w:t>.了解现代测量技术发展与趋势；</w:t>
            </w:r>
          </w:p>
          <w:p>
            <w:pPr>
              <w:pStyle w:val="19"/>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5</w:t>
            </w:r>
            <w:r>
              <w:rPr>
                <w:rFonts w:ascii="宋体" w:hAnsi="宋体" w:cs="宋体"/>
                <w:spacing w:val="-4"/>
                <w:sz w:val="24"/>
                <w:szCs w:val="24"/>
              </w:rPr>
              <w:t>.理解测量器具与测量方法的常用术语；</w:t>
            </w:r>
          </w:p>
          <w:p>
            <w:pPr>
              <w:pStyle w:val="19"/>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6</w:t>
            </w:r>
            <w:r>
              <w:rPr>
                <w:rFonts w:ascii="宋体" w:hAnsi="宋体" w:cs="宋体"/>
                <w:spacing w:val="-4"/>
                <w:sz w:val="24"/>
                <w:szCs w:val="24"/>
              </w:rPr>
              <w:t>.理解测量误差分析与数据处理的基础常识</w:t>
            </w:r>
            <w:r>
              <w:rPr>
                <w:rFonts w:hint="eastAsia" w:ascii="宋体" w:hAnsi="宋体" w:cs="宋体"/>
                <w:spacing w:val="-4"/>
                <w:sz w:val="24"/>
                <w:szCs w:val="24"/>
              </w:rPr>
              <w:t>；</w:t>
            </w:r>
          </w:p>
          <w:p>
            <w:pPr>
              <w:pStyle w:val="19"/>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7.</w:t>
            </w:r>
            <w:r>
              <w:rPr>
                <w:rFonts w:ascii="宋体" w:hAnsi="宋体" w:cs="宋体"/>
                <w:spacing w:val="-4"/>
                <w:sz w:val="24"/>
                <w:szCs w:val="24"/>
              </w:rPr>
              <w:t>了解测量方法与测量器具的分类；</w:t>
            </w:r>
          </w:p>
          <w:p>
            <w:pPr>
              <w:pStyle w:val="19"/>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8.</w:t>
            </w:r>
            <w:r>
              <w:rPr>
                <w:rFonts w:ascii="宋体" w:hAnsi="宋体" w:cs="宋体"/>
                <w:spacing w:val="-4"/>
                <w:sz w:val="24"/>
                <w:szCs w:val="24"/>
              </w:rPr>
              <w:t>了解量具</w:t>
            </w:r>
            <w:r>
              <w:rPr>
                <w:rFonts w:hint="eastAsia" w:ascii="宋体" w:hAnsi="宋体" w:cs="宋体"/>
                <w:spacing w:val="-4"/>
                <w:sz w:val="24"/>
                <w:szCs w:val="24"/>
              </w:rPr>
              <w:t>、</w:t>
            </w:r>
            <w:r>
              <w:rPr>
                <w:rFonts w:ascii="宋体" w:hAnsi="宋体" w:cs="宋体"/>
                <w:spacing w:val="-4"/>
                <w:sz w:val="24"/>
                <w:szCs w:val="24"/>
              </w:rPr>
              <w:t>量仪选用的要求及方法</w:t>
            </w:r>
            <w:r>
              <w:rPr>
                <w:rFonts w:hint="eastAsia" w:ascii="宋体" w:hAnsi="宋体" w:cs="宋体"/>
                <w:spacing w:val="-4"/>
                <w:sz w:val="24"/>
                <w:szCs w:val="24"/>
              </w:rPr>
              <w:t>，</w:t>
            </w:r>
            <w:r>
              <w:rPr>
                <w:rFonts w:ascii="宋体" w:hAnsi="宋体" w:cs="宋体"/>
                <w:spacing w:val="-4"/>
                <w:sz w:val="24"/>
                <w:szCs w:val="24"/>
              </w:rPr>
              <w:t>熟悉量具</w:t>
            </w:r>
            <w:r>
              <w:rPr>
                <w:rFonts w:hint="eastAsia" w:ascii="宋体" w:hAnsi="宋体" w:cs="宋体"/>
                <w:spacing w:val="-4"/>
                <w:sz w:val="24"/>
                <w:szCs w:val="24"/>
              </w:rPr>
              <w:t>、</w:t>
            </w:r>
            <w:r>
              <w:rPr>
                <w:rFonts w:ascii="宋体" w:hAnsi="宋体" w:cs="宋体"/>
                <w:spacing w:val="-4"/>
                <w:sz w:val="24"/>
                <w:szCs w:val="24"/>
              </w:rPr>
              <w:t>量仪的日常使用</w:t>
            </w:r>
            <w:r>
              <w:rPr>
                <w:rFonts w:hint="eastAsia" w:ascii="宋体" w:hAnsi="宋体" w:cs="宋体"/>
                <w:spacing w:val="-4"/>
                <w:sz w:val="24"/>
                <w:szCs w:val="24"/>
              </w:rPr>
              <w:t>维护</w:t>
            </w:r>
            <w:r>
              <w:rPr>
                <w:rFonts w:ascii="宋体" w:hAnsi="宋体" w:cs="宋体"/>
                <w:spacing w:val="-4"/>
                <w:sz w:val="24"/>
                <w:szCs w:val="24"/>
              </w:rPr>
              <w:t>与</w:t>
            </w:r>
            <w:r>
              <w:rPr>
                <w:rFonts w:hint="eastAsia" w:ascii="宋体" w:hAnsi="宋体" w:cs="宋体"/>
                <w:spacing w:val="-4"/>
                <w:sz w:val="24"/>
                <w:szCs w:val="24"/>
              </w:rPr>
              <w:t>保养</w:t>
            </w:r>
            <w:r>
              <w:rPr>
                <w:rFonts w:ascii="宋体" w:hAnsi="宋体" w:cs="宋体"/>
                <w:spacing w:val="-4"/>
                <w:sz w:val="24"/>
                <w:szCs w:val="24"/>
              </w:rPr>
              <w:t>技术</w:t>
            </w:r>
            <w:r>
              <w:rPr>
                <w:rFonts w:hint="eastAsia" w:ascii="宋体" w:hAnsi="宋体" w:cs="宋体"/>
                <w:spacing w:val="-4"/>
                <w:sz w:val="24"/>
                <w:szCs w:val="24"/>
              </w:rPr>
              <w:t>，能对</w:t>
            </w:r>
            <w:r>
              <w:rPr>
                <w:rFonts w:ascii="宋体" w:hAnsi="宋体" w:cs="宋体"/>
                <w:spacing w:val="-4"/>
                <w:sz w:val="24"/>
                <w:szCs w:val="24"/>
              </w:rPr>
              <w:t>常用量具</w:t>
            </w:r>
            <w:r>
              <w:rPr>
                <w:rFonts w:hint="eastAsia" w:ascii="宋体" w:hAnsi="宋体" w:cs="宋体"/>
                <w:spacing w:val="-4"/>
                <w:sz w:val="24"/>
                <w:szCs w:val="24"/>
              </w:rPr>
              <w:t>、</w:t>
            </w:r>
            <w:r>
              <w:rPr>
                <w:rFonts w:ascii="宋体" w:hAnsi="宋体" w:cs="宋体"/>
                <w:spacing w:val="-4"/>
                <w:sz w:val="24"/>
                <w:szCs w:val="24"/>
              </w:rPr>
              <w:t>量仪进行正确的保养</w:t>
            </w:r>
          </w:p>
        </w:tc>
        <w:tc>
          <w:tcPr>
            <w:tcW w:w="824" w:type="dxa"/>
            <w:vAlign w:val="center"/>
          </w:tcPr>
          <w:p>
            <w:pPr>
              <w:widowControl/>
              <w:topLinePunct/>
              <w:jc w:val="center"/>
              <w:rPr>
                <w:rFonts w:ascii="宋体" w:hAnsi="宋体"/>
                <w:sz w:val="24"/>
              </w:rPr>
            </w:pPr>
            <w:r>
              <w:rPr>
                <w:rFonts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continue"/>
            <w:vAlign w:val="center"/>
          </w:tcPr>
          <w:p>
            <w:pPr>
              <w:widowControl/>
              <w:topLinePunct/>
              <w:jc w:val="center"/>
              <w:rPr>
                <w:rFonts w:ascii="宋体" w:hAnsi="宋体" w:cs="宋体"/>
                <w:kern w:val="0"/>
                <w:sz w:val="24"/>
              </w:rPr>
            </w:pPr>
          </w:p>
        </w:tc>
        <w:tc>
          <w:tcPr>
            <w:tcW w:w="1432" w:type="dxa"/>
            <w:vAlign w:val="center"/>
          </w:tcPr>
          <w:p>
            <w:pPr>
              <w:widowControl/>
              <w:topLinePunct/>
              <w:jc w:val="center"/>
              <w:rPr>
                <w:rFonts w:ascii="宋体" w:hAnsi="宋体" w:cs="宋体"/>
                <w:kern w:val="0"/>
                <w:sz w:val="24"/>
              </w:rPr>
            </w:pPr>
            <w:r>
              <w:rPr>
                <w:rFonts w:ascii="宋体" w:hAnsi="宋体"/>
                <w:sz w:val="24"/>
              </w:rPr>
              <w:t>内径测量</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1.了解内径百分表的使用方法</w:t>
            </w:r>
            <w:r>
              <w:rPr>
                <w:rFonts w:hint="eastAsia" w:ascii="宋体" w:hAnsi="宋体" w:cs="宋体"/>
                <w:spacing w:val="-4"/>
                <w:sz w:val="24"/>
                <w:szCs w:val="24"/>
              </w:rPr>
              <w:t>，</w:t>
            </w:r>
            <w:r>
              <w:rPr>
                <w:rFonts w:ascii="宋体" w:hAnsi="宋体" w:cs="宋体"/>
                <w:spacing w:val="-4"/>
                <w:sz w:val="24"/>
                <w:szCs w:val="24"/>
              </w:rPr>
              <w:t>会使用内径百分表测量套的孔径尺寸；</w:t>
            </w:r>
          </w:p>
          <w:p>
            <w:pPr>
              <w:pStyle w:val="19"/>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w:t>
            </w:r>
            <w:r>
              <w:rPr>
                <w:rFonts w:ascii="宋体" w:hAnsi="宋体" w:cs="宋体"/>
                <w:spacing w:val="-4"/>
                <w:sz w:val="24"/>
                <w:szCs w:val="24"/>
              </w:rPr>
              <w:t>.掌握内测千分尺的使用方法</w:t>
            </w:r>
            <w:r>
              <w:rPr>
                <w:rFonts w:hint="eastAsia" w:ascii="宋体" w:hAnsi="宋体" w:cs="宋体"/>
                <w:spacing w:val="-4"/>
                <w:sz w:val="24"/>
                <w:szCs w:val="24"/>
              </w:rPr>
              <w:t>，</w:t>
            </w:r>
            <w:r>
              <w:rPr>
                <w:rFonts w:ascii="宋体" w:hAnsi="宋体" w:cs="宋体"/>
                <w:spacing w:val="-4"/>
                <w:sz w:val="24"/>
                <w:szCs w:val="24"/>
              </w:rPr>
              <w:t>会使用内测千分尺测量孔径并正确读数</w:t>
            </w:r>
          </w:p>
        </w:tc>
        <w:tc>
          <w:tcPr>
            <w:tcW w:w="824" w:type="dxa"/>
            <w:vMerge w:val="restart"/>
            <w:vAlign w:val="center"/>
          </w:tcPr>
          <w:p>
            <w:pPr>
              <w:topLinePunct/>
              <w:jc w:val="center"/>
              <w:rPr>
                <w:rFonts w:ascii="宋体" w:hAnsi="宋体"/>
                <w:sz w:val="24"/>
              </w:rPr>
            </w:pPr>
            <w:r>
              <w:rPr>
                <w:rFonts w:ascii="宋体" w:hAnsi="宋体"/>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continue"/>
            <w:vAlign w:val="center"/>
          </w:tcPr>
          <w:p>
            <w:pPr>
              <w:widowControl/>
              <w:topLinePunct/>
              <w:jc w:val="center"/>
              <w:rPr>
                <w:rFonts w:ascii="宋体" w:hAnsi="宋体" w:cs="宋体"/>
                <w:kern w:val="0"/>
                <w:sz w:val="24"/>
              </w:rPr>
            </w:pPr>
          </w:p>
        </w:tc>
        <w:tc>
          <w:tcPr>
            <w:tcW w:w="1432" w:type="dxa"/>
            <w:vAlign w:val="center"/>
          </w:tcPr>
          <w:p>
            <w:pPr>
              <w:widowControl/>
              <w:topLinePunct/>
              <w:jc w:val="center"/>
              <w:rPr>
                <w:rFonts w:ascii="宋体" w:hAnsi="宋体" w:cs="宋体"/>
                <w:kern w:val="0"/>
                <w:sz w:val="24"/>
              </w:rPr>
            </w:pPr>
            <w:r>
              <w:rPr>
                <w:rFonts w:ascii="宋体" w:hAnsi="宋体"/>
                <w:sz w:val="24"/>
              </w:rPr>
              <w:t>外径测量</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掌握外径千分尺的使用方法</w:t>
            </w:r>
            <w:r>
              <w:rPr>
                <w:rFonts w:hint="eastAsia" w:ascii="宋体" w:hAnsi="宋体" w:cs="宋体"/>
                <w:spacing w:val="-4"/>
                <w:sz w:val="24"/>
                <w:szCs w:val="24"/>
              </w:rPr>
              <w:t>，</w:t>
            </w:r>
            <w:r>
              <w:rPr>
                <w:rFonts w:ascii="宋体" w:hAnsi="宋体" w:cs="宋体"/>
                <w:spacing w:val="-4"/>
                <w:sz w:val="24"/>
                <w:szCs w:val="24"/>
              </w:rPr>
              <w:t>会使用外径千分尺测量轴的外径尺寸</w:t>
            </w:r>
          </w:p>
        </w:tc>
        <w:tc>
          <w:tcPr>
            <w:tcW w:w="824" w:type="dxa"/>
            <w:vMerge w:val="continue"/>
            <w:vAlign w:val="center"/>
          </w:tcPr>
          <w:p>
            <w:pPr>
              <w:topLinePun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continue"/>
            <w:vAlign w:val="center"/>
          </w:tcPr>
          <w:p>
            <w:pPr>
              <w:widowControl/>
              <w:topLinePunct/>
              <w:jc w:val="center"/>
              <w:rPr>
                <w:rFonts w:ascii="宋体" w:hAnsi="宋体" w:cs="宋体"/>
                <w:kern w:val="0"/>
                <w:sz w:val="24"/>
              </w:rPr>
            </w:pPr>
          </w:p>
        </w:tc>
        <w:tc>
          <w:tcPr>
            <w:tcW w:w="1432" w:type="dxa"/>
            <w:vAlign w:val="center"/>
          </w:tcPr>
          <w:p>
            <w:pPr>
              <w:widowControl/>
              <w:topLinePunct/>
              <w:jc w:val="center"/>
              <w:rPr>
                <w:rFonts w:ascii="宋体" w:hAnsi="宋体" w:cs="宋体"/>
                <w:kern w:val="0"/>
                <w:sz w:val="24"/>
              </w:rPr>
            </w:pPr>
            <w:r>
              <w:rPr>
                <w:rFonts w:ascii="宋体" w:hAnsi="宋体"/>
                <w:sz w:val="24"/>
              </w:rPr>
              <w:t>长度测量</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掌握游标卡尺的使用方法</w:t>
            </w:r>
            <w:r>
              <w:rPr>
                <w:rFonts w:hint="eastAsia" w:ascii="宋体" w:hAnsi="宋体" w:cs="宋体"/>
                <w:spacing w:val="-4"/>
                <w:sz w:val="24"/>
                <w:szCs w:val="24"/>
              </w:rPr>
              <w:t>，</w:t>
            </w:r>
            <w:r>
              <w:rPr>
                <w:rFonts w:ascii="宋体" w:hAnsi="宋体" w:cs="宋体"/>
                <w:spacing w:val="-4"/>
                <w:sz w:val="24"/>
                <w:szCs w:val="24"/>
              </w:rPr>
              <w:t>会使用游标卡尺测量长度尺寸</w:t>
            </w:r>
          </w:p>
        </w:tc>
        <w:tc>
          <w:tcPr>
            <w:tcW w:w="824" w:type="dxa"/>
            <w:vMerge w:val="continue"/>
            <w:vAlign w:val="center"/>
          </w:tcPr>
          <w:p>
            <w:pPr>
              <w:topLinePun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continue"/>
            <w:vAlign w:val="center"/>
          </w:tcPr>
          <w:p>
            <w:pPr>
              <w:widowControl/>
              <w:topLinePunct/>
              <w:jc w:val="center"/>
              <w:rPr>
                <w:rFonts w:ascii="宋体" w:hAnsi="宋体" w:cs="宋体"/>
                <w:kern w:val="0"/>
                <w:sz w:val="24"/>
              </w:rPr>
            </w:pPr>
          </w:p>
        </w:tc>
        <w:tc>
          <w:tcPr>
            <w:tcW w:w="1432" w:type="dxa"/>
            <w:vAlign w:val="center"/>
          </w:tcPr>
          <w:p>
            <w:pPr>
              <w:widowControl/>
              <w:topLinePunct/>
              <w:jc w:val="center"/>
              <w:rPr>
                <w:rFonts w:ascii="宋体" w:hAnsi="宋体" w:cs="宋体"/>
                <w:kern w:val="0"/>
                <w:sz w:val="24"/>
              </w:rPr>
            </w:pPr>
            <w:r>
              <w:rPr>
                <w:rFonts w:ascii="宋体" w:hAnsi="宋体"/>
                <w:sz w:val="24"/>
              </w:rPr>
              <w:t>深度测量</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1.掌握深度游标卡尺的使用方法</w:t>
            </w:r>
            <w:r>
              <w:rPr>
                <w:rFonts w:hint="eastAsia" w:ascii="宋体" w:hAnsi="宋体" w:cs="宋体"/>
                <w:spacing w:val="-4"/>
                <w:sz w:val="24"/>
                <w:szCs w:val="24"/>
              </w:rPr>
              <w:t>，</w:t>
            </w:r>
            <w:r>
              <w:rPr>
                <w:rFonts w:ascii="宋体" w:hAnsi="宋体" w:cs="宋体"/>
                <w:spacing w:val="-4"/>
                <w:sz w:val="24"/>
                <w:szCs w:val="24"/>
              </w:rPr>
              <w:t>会使用深度游标卡尺测量零件的深度尺寸；</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2.掌握深度千分尺的使用方法</w:t>
            </w:r>
            <w:r>
              <w:rPr>
                <w:rFonts w:hint="eastAsia" w:ascii="宋体" w:hAnsi="宋体" w:cs="宋体"/>
                <w:spacing w:val="-4"/>
                <w:sz w:val="24"/>
                <w:szCs w:val="24"/>
              </w:rPr>
              <w:t>，</w:t>
            </w:r>
            <w:r>
              <w:rPr>
                <w:rFonts w:ascii="宋体" w:hAnsi="宋体" w:cs="宋体"/>
                <w:spacing w:val="-4"/>
                <w:sz w:val="24"/>
                <w:szCs w:val="24"/>
              </w:rPr>
              <w:t>会使用深度千分尺测量零件的深度尺寸并正确读</w:t>
            </w:r>
          </w:p>
        </w:tc>
        <w:tc>
          <w:tcPr>
            <w:tcW w:w="824" w:type="dxa"/>
            <w:vMerge w:val="continue"/>
            <w:vAlign w:val="center"/>
          </w:tcPr>
          <w:p>
            <w:pPr>
              <w:topLinePun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continue"/>
            <w:vAlign w:val="center"/>
          </w:tcPr>
          <w:p>
            <w:pPr>
              <w:widowControl/>
              <w:topLinePunct/>
              <w:jc w:val="center"/>
              <w:rPr>
                <w:rFonts w:ascii="宋体" w:hAnsi="宋体" w:cs="宋体"/>
                <w:kern w:val="0"/>
                <w:sz w:val="24"/>
              </w:rPr>
            </w:pPr>
          </w:p>
        </w:tc>
        <w:tc>
          <w:tcPr>
            <w:tcW w:w="1432" w:type="dxa"/>
            <w:vAlign w:val="center"/>
          </w:tcPr>
          <w:p>
            <w:pPr>
              <w:widowControl/>
              <w:topLinePunct/>
              <w:jc w:val="center"/>
              <w:rPr>
                <w:rFonts w:ascii="宋体" w:hAnsi="宋体" w:cs="宋体"/>
                <w:kern w:val="0"/>
                <w:sz w:val="24"/>
              </w:rPr>
            </w:pPr>
            <w:r>
              <w:rPr>
                <w:rFonts w:ascii="宋体" w:hAnsi="宋体"/>
                <w:sz w:val="24"/>
              </w:rPr>
              <w:t>角度</w:t>
            </w:r>
            <w:r>
              <w:rPr>
                <w:rFonts w:hint="eastAsia" w:ascii="宋体" w:hAnsi="宋体"/>
                <w:sz w:val="24"/>
              </w:rPr>
              <w:t>测量</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掌握游标万能角度尺的使用方法</w:t>
            </w:r>
            <w:r>
              <w:rPr>
                <w:rFonts w:hint="eastAsia" w:ascii="宋体" w:hAnsi="宋体" w:cs="宋体"/>
                <w:spacing w:val="-4"/>
                <w:sz w:val="24"/>
                <w:szCs w:val="24"/>
              </w:rPr>
              <w:t>，</w:t>
            </w:r>
            <w:r>
              <w:rPr>
                <w:rFonts w:ascii="宋体" w:hAnsi="宋体" w:cs="宋体"/>
                <w:spacing w:val="-4"/>
                <w:sz w:val="24"/>
                <w:szCs w:val="24"/>
              </w:rPr>
              <w:t>会使用游标万能角度</w:t>
            </w:r>
            <w:r>
              <w:rPr>
                <w:rFonts w:hint="eastAsia" w:ascii="宋体" w:hAnsi="宋体" w:cs="宋体"/>
                <w:spacing w:val="-4"/>
                <w:sz w:val="24"/>
                <w:szCs w:val="24"/>
              </w:rPr>
              <w:t>尺测量轴的锥度、零件的角度</w:t>
            </w:r>
          </w:p>
        </w:tc>
        <w:tc>
          <w:tcPr>
            <w:tcW w:w="824" w:type="dxa"/>
            <w:vMerge w:val="continue"/>
            <w:vAlign w:val="center"/>
          </w:tcPr>
          <w:p>
            <w:pPr>
              <w:widowControl/>
              <w:topLinePun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continue"/>
            <w:vAlign w:val="center"/>
          </w:tcPr>
          <w:p>
            <w:pPr>
              <w:widowControl/>
              <w:topLinePunct/>
              <w:jc w:val="center"/>
              <w:rPr>
                <w:rFonts w:ascii="宋体" w:hAnsi="宋体" w:cs="宋体"/>
                <w:kern w:val="0"/>
                <w:sz w:val="24"/>
              </w:rPr>
            </w:pPr>
          </w:p>
        </w:tc>
        <w:tc>
          <w:tcPr>
            <w:tcW w:w="1432" w:type="dxa"/>
            <w:vAlign w:val="center"/>
          </w:tcPr>
          <w:p>
            <w:pPr>
              <w:widowControl/>
              <w:topLinePunct/>
              <w:jc w:val="center"/>
              <w:rPr>
                <w:rFonts w:ascii="宋体" w:hAnsi="宋体" w:cs="宋体"/>
                <w:kern w:val="0"/>
                <w:sz w:val="24"/>
              </w:rPr>
            </w:pPr>
            <w:r>
              <w:rPr>
                <w:rFonts w:ascii="宋体" w:hAnsi="宋体"/>
                <w:sz w:val="24"/>
              </w:rPr>
              <w:t>直线度误差的测量</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18"/>
                <w:szCs w:val="18"/>
              </w:rPr>
            </w:pPr>
            <w:r>
              <w:rPr>
                <w:rFonts w:ascii="宋体" w:hAnsi="宋体" w:cs="宋体"/>
                <w:spacing w:val="-4"/>
                <w:sz w:val="24"/>
                <w:szCs w:val="24"/>
              </w:rPr>
              <w:t>1.掌握水平仪的正确使用方法</w:t>
            </w:r>
            <w:r>
              <w:rPr>
                <w:rFonts w:hint="eastAsia" w:ascii="宋体" w:hAnsi="宋体" w:cs="宋体"/>
                <w:spacing w:val="-4"/>
                <w:sz w:val="24"/>
                <w:szCs w:val="24"/>
              </w:rPr>
              <w:t>，</w:t>
            </w:r>
            <w:r>
              <w:rPr>
                <w:rFonts w:ascii="宋体" w:hAnsi="宋体" w:cs="宋体"/>
                <w:spacing w:val="-4"/>
                <w:sz w:val="24"/>
                <w:szCs w:val="24"/>
              </w:rPr>
              <w:t>会使用水平仪测量直线度误差</w:t>
            </w:r>
            <w:r>
              <w:rPr>
                <w:rFonts w:hint="eastAsia" w:ascii="宋体" w:hAnsi="宋体" w:cs="宋体"/>
                <w:spacing w:val="-4"/>
                <w:sz w:val="24"/>
                <w:szCs w:val="24"/>
              </w:rPr>
              <w:t>并进行</w:t>
            </w:r>
            <w:r>
              <w:rPr>
                <w:rFonts w:ascii="宋体" w:hAnsi="宋体" w:cs="宋体"/>
                <w:spacing w:val="-4"/>
                <w:sz w:val="24"/>
                <w:szCs w:val="24"/>
              </w:rPr>
              <w:t>数据处理；</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2.会使用直尺法测量直线度误差</w:t>
            </w:r>
          </w:p>
        </w:tc>
        <w:tc>
          <w:tcPr>
            <w:tcW w:w="824" w:type="dxa"/>
            <w:vMerge w:val="restart"/>
            <w:vAlign w:val="center"/>
          </w:tcPr>
          <w:p>
            <w:pPr>
              <w:topLinePunct/>
              <w:jc w:val="center"/>
              <w:rPr>
                <w:rFonts w:ascii="宋体" w:hAnsi="宋体"/>
                <w:sz w:val="24"/>
              </w:rPr>
            </w:pPr>
            <w:r>
              <w:rPr>
                <w:rFonts w:ascii="宋体" w:hAnsi="宋体"/>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231" w:type="dxa"/>
            <w:vMerge w:val="continue"/>
            <w:vAlign w:val="center"/>
          </w:tcPr>
          <w:p>
            <w:pPr>
              <w:widowControl/>
              <w:topLinePunct/>
              <w:jc w:val="center"/>
              <w:rPr>
                <w:rFonts w:ascii="宋体" w:hAnsi="宋体" w:cs="宋体"/>
                <w:kern w:val="0"/>
                <w:sz w:val="24"/>
              </w:rPr>
            </w:pPr>
          </w:p>
        </w:tc>
        <w:tc>
          <w:tcPr>
            <w:tcW w:w="1432" w:type="dxa"/>
            <w:vAlign w:val="center"/>
          </w:tcPr>
          <w:p>
            <w:pPr>
              <w:widowControl/>
              <w:topLinePunct/>
              <w:jc w:val="center"/>
              <w:rPr>
                <w:rFonts w:ascii="宋体" w:hAnsi="宋体" w:cs="宋体"/>
                <w:kern w:val="0"/>
                <w:sz w:val="24"/>
              </w:rPr>
            </w:pPr>
            <w:r>
              <w:rPr>
                <w:rFonts w:ascii="宋体" w:hAnsi="宋体"/>
                <w:sz w:val="24"/>
              </w:rPr>
              <w:t>平面度误差的测量</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1.掌握刀口形直尺</w:t>
            </w:r>
            <w:r>
              <w:rPr>
                <w:rFonts w:hint="eastAsia" w:ascii="宋体" w:hAnsi="宋体" w:cs="宋体"/>
                <w:spacing w:val="-4"/>
                <w:sz w:val="24"/>
                <w:szCs w:val="24"/>
              </w:rPr>
              <w:t>的使用方法，</w:t>
            </w:r>
            <w:r>
              <w:rPr>
                <w:rFonts w:ascii="宋体" w:hAnsi="宋体" w:cs="宋体"/>
                <w:spacing w:val="-4"/>
                <w:sz w:val="24"/>
                <w:szCs w:val="24"/>
              </w:rPr>
              <w:t>会使用刀口形直尺</w:t>
            </w:r>
            <w:r>
              <w:rPr>
                <w:rFonts w:hint="eastAsia" w:ascii="宋体" w:hAnsi="宋体" w:cs="宋体"/>
                <w:spacing w:val="-4"/>
                <w:sz w:val="24"/>
                <w:szCs w:val="24"/>
              </w:rPr>
              <w:t>测量平面度误差；</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2.掌握千分表的正确使用方法</w:t>
            </w:r>
            <w:r>
              <w:rPr>
                <w:rFonts w:hint="eastAsia" w:ascii="宋体" w:hAnsi="宋体" w:cs="宋体"/>
                <w:spacing w:val="-4"/>
                <w:sz w:val="24"/>
                <w:szCs w:val="24"/>
              </w:rPr>
              <w:t>，</w:t>
            </w:r>
            <w:r>
              <w:rPr>
                <w:rFonts w:ascii="宋体" w:hAnsi="宋体" w:cs="宋体"/>
                <w:spacing w:val="-4"/>
                <w:sz w:val="24"/>
                <w:szCs w:val="24"/>
              </w:rPr>
              <w:t>会使用千分表测量平面度误差</w:t>
            </w:r>
          </w:p>
        </w:tc>
        <w:tc>
          <w:tcPr>
            <w:tcW w:w="824" w:type="dxa"/>
            <w:vMerge w:val="continue"/>
            <w:vAlign w:val="center"/>
          </w:tcPr>
          <w:p>
            <w:pPr>
              <w:topLinePun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continue"/>
            <w:vAlign w:val="center"/>
          </w:tcPr>
          <w:p>
            <w:pPr>
              <w:widowControl/>
              <w:topLinePunct/>
              <w:jc w:val="center"/>
              <w:rPr>
                <w:rFonts w:ascii="宋体" w:hAnsi="宋体" w:cs="宋体"/>
                <w:kern w:val="0"/>
                <w:sz w:val="24"/>
              </w:rPr>
            </w:pPr>
          </w:p>
        </w:tc>
        <w:tc>
          <w:tcPr>
            <w:tcW w:w="1432" w:type="dxa"/>
            <w:vAlign w:val="center"/>
          </w:tcPr>
          <w:p>
            <w:pPr>
              <w:widowControl/>
              <w:topLinePunct/>
              <w:jc w:val="center"/>
              <w:rPr>
                <w:rFonts w:ascii="宋体" w:hAnsi="宋体" w:cs="宋体"/>
                <w:kern w:val="0"/>
                <w:sz w:val="24"/>
              </w:rPr>
            </w:pPr>
            <w:r>
              <w:rPr>
                <w:rFonts w:hint="eastAsia" w:ascii="宋体" w:hAnsi="宋体"/>
                <w:sz w:val="24"/>
              </w:rPr>
              <w:t>垂直度误差的测量</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1.掌握直</w:t>
            </w:r>
            <w:r>
              <w:rPr>
                <w:rFonts w:hint="eastAsia" w:ascii="宋体" w:hAnsi="宋体" w:cs="宋体"/>
                <w:spacing w:val="-4"/>
                <w:sz w:val="24"/>
                <w:szCs w:val="24"/>
              </w:rPr>
              <w:t>角</w:t>
            </w:r>
            <w:r>
              <w:rPr>
                <w:rFonts w:ascii="宋体" w:hAnsi="宋体" w:cs="宋体"/>
                <w:spacing w:val="-4"/>
                <w:sz w:val="24"/>
                <w:szCs w:val="24"/>
              </w:rPr>
              <w:t>尺</w:t>
            </w:r>
            <w:r>
              <w:rPr>
                <w:rFonts w:hint="eastAsia" w:ascii="宋体" w:hAnsi="宋体" w:cs="宋体"/>
                <w:spacing w:val="-4"/>
                <w:sz w:val="24"/>
                <w:szCs w:val="24"/>
              </w:rPr>
              <w:t>的使用方法，</w:t>
            </w:r>
            <w:r>
              <w:rPr>
                <w:rFonts w:ascii="宋体" w:hAnsi="宋体" w:cs="宋体"/>
                <w:spacing w:val="-4"/>
                <w:sz w:val="24"/>
                <w:szCs w:val="24"/>
              </w:rPr>
              <w:t>会使用直</w:t>
            </w:r>
            <w:r>
              <w:rPr>
                <w:rFonts w:hint="eastAsia" w:ascii="宋体" w:hAnsi="宋体" w:cs="宋体"/>
                <w:spacing w:val="-4"/>
                <w:sz w:val="24"/>
                <w:szCs w:val="24"/>
              </w:rPr>
              <w:t>角</w:t>
            </w:r>
            <w:r>
              <w:rPr>
                <w:rFonts w:ascii="宋体" w:hAnsi="宋体" w:cs="宋体"/>
                <w:spacing w:val="-4"/>
                <w:sz w:val="24"/>
                <w:szCs w:val="24"/>
              </w:rPr>
              <w:t>尺</w:t>
            </w:r>
            <w:r>
              <w:rPr>
                <w:rFonts w:hint="eastAsia" w:ascii="宋体" w:hAnsi="宋体" w:cs="宋体"/>
                <w:spacing w:val="-4"/>
                <w:sz w:val="24"/>
                <w:szCs w:val="24"/>
              </w:rPr>
              <w:t>测量垂直度误差；</w:t>
            </w:r>
          </w:p>
          <w:p>
            <w:pPr>
              <w:pStyle w:val="19"/>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w:t>
            </w:r>
            <w:r>
              <w:rPr>
                <w:rFonts w:ascii="宋体" w:hAnsi="宋体" w:cs="宋体"/>
                <w:spacing w:val="-4"/>
                <w:sz w:val="24"/>
                <w:szCs w:val="24"/>
              </w:rPr>
              <w:t>.会使用百分表测量垂直度误差</w:t>
            </w:r>
          </w:p>
        </w:tc>
        <w:tc>
          <w:tcPr>
            <w:tcW w:w="824" w:type="dxa"/>
            <w:vMerge w:val="continue"/>
            <w:vAlign w:val="center"/>
          </w:tcPr>
          <w:p>
            <w:pPr>
              <w:topLinePun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continue"/>
            <w:vAlign w:val="center"/>
          </w:tcPr>
          <w:p>
            <w:pPr>
              <w:widowControl/>
              <w:topLinePunct/>
              <w:jc w:val="center"/>
              <w:rPr>
                <w:rFonts w:ascii="宋体" w:hAnsi="宋体"/>
                <w:sz w:val="24"/>
              </w:rPr>
            </w:pPr>
          </w:p>
        </w:tc>
        <w:tc>
          <w:tcPr>
            <w:tcW w:w="1432" w:type="dxa"/>
            <w:vAlign w:val="center"/>
          </w:tcPr>
          <w:p>
            <w:pPr>
              <w:widowControl/>
              <w:topLinePunct/>
              <w:jc w:val="center"/>
              <w:rPr>
                <w:rFonts w:ascii="宋体" w:hAnsi="宋体"/>
                <w:sz w:val="24"/>
              </w:rPr>
            </w:pPr>
            <w:r>
              <w:rPr>
                <w:rFonts w:hint="eastAsia" w:ascii="宋体" w:hAnsi="宋体"/>
                <w:sz w:val="24"/>
              </w:rPr>
              <w:t>同轴度误差的测量</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掌握杠杆百分表的正确使用方法</w:t>
            </w:r>
            <w:r>
              <w:rPr>
                <w:rFonts w:hint="eastAsia" w:ascii="宋体" w:hAnsi="宋体" w:cs="宋体"/>
                <w:spacing w:val="-4"/>
                <w:sz w:val="24"/>
                <w:szCs w:val="24"/>
              </w:rPr>
              <w:t>，</w:t>
            </w:r>
            <w:r>
              <w:rPr>
                <w:rFonts w:ascii="宋体" w:hAnsi="宋体" w:cs="宋体"/>
                <w:spacing w:val="-4"/>
                <w:sz w:val="24"/>
                <w:szCs w:val="24"/>
              </w:rPr>
              <w:t>会使用百分表测量</w:t>
            </w:r>
            <w:r>
              <w:rPr>
                <w:rFonts w:hint="eastAsia" w:ascii="宋体" w:hAnsi="宋体" w:cs="宋体"/>
                <w:spacing w:val="-4"/>
                <w:sz w:val="24"/>
                <w:szCs w:val="24"/>
              </w:rPr>
              <w:t>同轴</w:t>
            </w:r>
            <w:r>
              <w:rPr>
                <w:rFonts w:ascii="宋体" w:hAnsi="宋体" w:cs="宋体"/>
                <w:spacing w:val="-4"/>
                <w:sz w:val="24"/>
                <w:szCs w:val="24"/>
              </w:rPr>
              <w:t>度误差</w:t>
            </w:r>
          </w:p>
        </w:tc>
        <w:tc>
          <w:tcPr>
            <w:tcW w:w="824" w:type="dxa"/>
            <w:vMerge w:val="continue"/>
            <w:vAlign w:val="center"/>
          </w:tcPr>
          <w:p>
            <w:pPr>
              <w:topLinePun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continue"/>
            <w:vAlign w:val="center"/>
          </w:tcPr>
          <w:p>
            <w:pPr>
              <w:widowControl/>
              <w:topLinePunct/>
              <w:jc w:val="center"/>
              <w:rPr>
                <w:rFonts w:ascii="宋体" w:hAnsi="宋体" w:cs="宋体"/>
                <w:kern w:val="0"/>
                <w:sz w:val="24"/>
              </w:rPr>
            </w:pPr>
          </w:p>
        </w:tc>
        <w:tc>
          <w:tcPr>
            <w:tcW w:w="1432" w:type="dxa"/>
            <w:vAlign w:val="center"/>
          </w:tcPr>
          <w:p>
            <w:pPr>
              <w:widowControl/>
              <w:topLinePunct/>
              <w:jc w:val="center"/>
              <w:rPr>
                <w:rFonts w:ascii="宋体" w:hAnsi="宋体" w:cs="宋体"/>
                <w:kern w:val="0"/>
                <w:sz w:val="24"/>
              </w:rPr>
            </w:pPr>
            <w:r>
              <w:rPr>
                <w:rFonts w:hint="eastAsia" w:ascii="宋体" w:hAnsi="宋体"/>
                <w:sz w:val="24"/>
              </w:rPr>
              <w:t>平行度误差的测量</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1.掌握</w:t>
            </w:r>
            <w:r>
              <w:rPr>
                <w:rFonts w:hint="eastAsia" w:ascii="宋体" w:hAnsi="宋体" w:cs="宋体"/>
                <w:spacing w:val="-4"/>
                <w:sz w:val="24"/>
                <w:szCs w:val="24"/>
              </w:rPr>
              <w:t>平行度误差</w:t>
            </w:r>
            <w:r>
              <w:rPr>
                <w:rFonts w:ascii="宋体" w:hAnsi="宋体" w:cs="宋体"/>
                <w:spacing w:val="-4"/>
                <w:sz w:val="24"/>
                <w:szCs w:val="24"/>
              </w:rPr>
              <w:t>检测的一般方法，加深对</w:t>
            </w:r>
            <w:r>
              <w:rPr>
                <w:rFonts w:hint="eastAsia" w:ascii="宋体" w:hAnsi="宋体" w:cs="宋体"/>
                <w:spacing w:val="-4"/>
                <w:sz w:val="24"/>
                <w:szCs w:val="24"/>
              </w:rPr>
              <w:t>平行度</w:t>
            </w:r>
            <w:r>
              <w:rPr>
                <w:rFonts w:ascii="宋体" w:hAnsi="宋体" w:cs="宋体"/>
                <w:spacing w:val="-4"/>
                <w:sz w:val="24"/>
                <w:szCs w:val="24"/>
              </w:rPr>
              <w:t>公差的理解；</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2.会用百分表测量平行度误差</w:t>
            </w:r>
          </w:p>
        </w:tc>
        <w:tc>
          <w:tcPr>
            <w:tcW w:w="824" w:type="dxa"/>
            <w:vMerge w:val="continue"/>
            <w:vAlign w:val="center"/>
          </w:tcPr>
          <w:p>
            <w:pPr>
              <w:topLinePun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continue"/>
            <w:vAlign w:val="center"/>
          </w:tcPr>
          <w:p>
            <w:pPr>
              <w:widowControl/>
              <w:topLinePunct/>
              <w:jc w:val="center"/>
              <w:rPr>
                <w:rFonts w:ascii="宋体" w:hAnsi="宋体" w:cs="宋体"/>
                <w:kern w:val="0"/>
                <w:sz w:val="24"/>
              </w:rPr>
            </w:pPr>
          </w:p>
        </w:tc>
        <w:tc>
          <w:tcPr>
            <w:tcW w:w="1432" w:type="dxa"/>
            <w:vAlign w:val="center"/>
          </w:tcPr>
          <w:p>
            <w:pPr>
              <w:widowControl/>
              <w:topLinePunct/>
              <w:jc w:val="center"/>
              <w:rPr>
                <w:rFonts w:ascii="宋体" w:hAnsi="宋体" w:cs="宋体"/>
                <w:kern w:val="0"/>
                <w:sz w:val="24"/>
              </w:rPr>
            </w:pPr>
            <w:r>
              <w:rPr>
                <w:rFonts w:hint="eastAsia" w:ascii="宋体" w:hAnsi="宋体"/>
                <w:sz w:val="24"/>
              </w:rPr>
              <w:t>跳动误差的测量</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掌握杠杆百分表的正确使用方法</w:t>
            </w:r>
            <w:r>
              <w:rPr>
                <w:rFonts w:hint="eastAsia" w:ascii="宋体" w:hAnsi="宋体" w:cs="宋体"/>
                <w:spacing w:val="-4"/>
                <w:sz w:val="24"/>
                <w:szCs w:val="24"/>
              </w:rPr>
              <w:t>，</w:t>
            </w:r>
            <w:r>
              <w:rPr>
                <w:rFonts w:ascii="宋体" w:hAnsi="宋体" w:cs="宋体"/>
                <w:spacing w:val="-4"/>
                <w:sz w:val="24"/>
                <w:szCs w:val="24"/>
              </w:rPr>
              <w:t>会使用杠杆百分表测量轴的径向跳动、</w:t>
            </w:r>
            <w:r>
              <w:rPr>
                <w:rFonts w:hint="eastAsia" w:ascii="宋体" w:hAnsi="宋体" w:cs="宋体"/>
                <w:spacing w:val="-4"/>
                <w:sz w:val="24"/>
                <w:szCs w:val="24"/>
              </w:rPr>
              <w:t>轴向</w:t>
            </w:r>
            <w:r>
              <w:rPr>
                <w:rFonts w:ascii="宋体" w:hAnsi="宋体" w:cs="宋体"/>
                <w:spacing w:val="-4"/>
                <w:sz w:val="24"/>
                <w:szCs w:val="24"/>
              </w:rPr>
              <w:t>跳动误差</w:t>
            </w:r>
          </w:p>
        </w:tc>
        <w:tc>
          <w:tcPr>
            <w:tcW w:w="824" w:type="dxa"/>
            <w:vMerge w:val="continue"/>
            <w:vAlign w:val="center"/>
          </w:tcPr>
          <w:p>
            <w:pPr>
              <w:widowControl/>
              <w:topLinePunc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continue"/>
            <w:vAlign w:val="center"/>
          </w:tcPr>
          <w:p>
            <w:pPr>
              <w:widowControl/>
              <w:topLinePunct/>
              <w:jc w:val="center"/>
              <w:rPr>
                <w:rFonts w:ascii="宋体" w:hAnsi="宋体" w:cs="宋体"/>
                <w:kern w:val="0"/>
                <w:sz w:val="24"/>
              </w:rPr>
            </w:pPr>
          </w:p>
        </w:tc>
        <w:tc>
          <w:tcPr>
            <w:tcW w:w="1432" w:type="dxa"/>
            <w:vAlign w:val="center"/>
          </w:tcPr>
          <w:p>
            <w:pPr>
              <w:widowControl/>
              <w:topLinePunct/>
              <w:jc w:val="center"/>
              <w:rPr>
                <w:rFonts w:ascii="宋体" w:hAnsi="宋体"/>
                <w:sz w:val="24"/>
              </w:rPr>
            </w:pPr>
            <w:r>
              <w:rPr>
                <w:rFonts w:hint="eastAsia" w:ascii="宋体" w:hAnsi="宋体"/>
                <w:sz w:val="24"/>
              </w:rPr>
              <w:t>先进</w:t>
            </w:r>
            <w:r>
              <w:rPr>
                <w:rFonts w:ascii="宋体" w:hAnsi="宋体"/>
                <w:sz w:val="24"/>
              </w:rPr>
              <w:t>测量技术</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1.了解</w:t>
            </w:r>
            <w:r>
              <w:rPr>
                <w:rFonts w:ascii="宋体" w:hAnsi="宋体" w:cs="宋体"/>
                <w:spacing w:val="-4"/>
                <w:sz w:val="24"/>
                <w:szCs w:val="24"/>
              </w:rPr>
              <w:t>三坐标测量技术</w:t>
            </w:r>
            <w:r>
              <w:rPr>
                <w:rFonts w:hint="eastAsia" w:ascii="宋体" w:hAnsi="宋体" w:cs="宋体"/>
                <w:spacing w:val="-4"/>
                <w:sz w:val="24"/>
                <w:szCs w:val="24"/>
              </w:rPr>
              <w:t>；</w:t>
            </w:r>
          </w:p>
          <w:p>
            <w:pPr>
              <w:pStyle w:val="19"/>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2.了解在线SPC测量</w:t>
            </w:r>
            <w:r>
              <w:rPr>
                <w:rFonts w:ascii="宋体" w:hAnsi="宋体" w:cs="宋体"/>
                <w:spacing w:val="-4"/>
                <w:sz w:val="24"/>
                <w:szCs w:val="24"/>
              </w:rPr>
              <w:t>技术</w:t>
            </w:r>
          </w:p>
        </w:tc>
        <w:tc>
          <w:tcPr>
            <w:tcW w:w="824" w:type="dxa"/>
            <w:vAlign w:val="center"/>
          </w:tcPr>
          <w:p>
            <w:pPr>
              <w:widowControl/>
              <w:topLinePunct/>
              <w:jc w:val="center"/>
              <w:rPr>
                <w:rFonts w:ascii="宋体" w:hAnsi="宋体"/>
                <w:sz w:val="24"/>
              </w:rPr>
            </w:pPr>
            <w:r>
              <w:rPr>
                <w:rFonts w:hint="eastAsia" w:ascii="宋体" w:hAnsi="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231" w:type="dxa"/>
            <w:vMerge w:val="continue"/>
            <w:vAlign w:val="center"/>
          </w:tcPr>
          <w:p>
            <w:pPr>
              <w:widowControl/>
              <w:topLinePunct/>
              <w:jc w:val="center"/>
              <w:rPr>
                <w:rFonts w:ascii="宋体" w:hAnsi="宋体"/>
                <w:sz w:val="24"/>
              </w:rPr>
            </w:pPr>
          </w:p>
        </w:tc>
        <w:tc>
          <w:tcPr>
            <w:tcW w:w="1432" w:type="dxa"/>
            <w:vAlign w:val="center"/>
          </w:tcPr>
          <w:p>
            <w:pPr>
              <w:widowControl/>
              <w:topLinePunct/>
              <w:jc w:val="center"/>
              <w:rPr>
                <w:rFonts w:ascii="宋体" w:hAnsi="宋体"/>
                <w:sz w:val="24"/>
              </w:rPr>
            </w:pPr>
            <w:r>
              <w:rPr>
                <w:rFonts w:hint="eastAsia" w:ascii="宋体" w:hAnsi="宋体"/>
                <w:sz w:val="24"/>
              </w:rPr>
              <w:t>机械零件的综合测量</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1.能够正确选择适当量具测量被测零件；</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2.能够正确选择测量方法测量被测零件并正确进行数据处理</w:t>
            </w:r>
            <w:r>
              <w:rPr>
                <w:rFonts w:hint="eastAsia" w:ascii="宋体" w:hAnsi="宋体" w:cs="宋体"/>
                <w:spacing w:val="-4"/>
                <w:sz w:val="24"/>
                <w:szCs w:val="24"/>
              </w:rPr>
              <w:t>；</w:t>
            </w:r>
          </w:p>
          <w:p>
            <w:pPr>
              <w:pStyle w:val="19"/>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3.掌握</w:t>
            </w:r>
            <w:r>
              <w:rPr>
                <w:rFonts w:ascii="宋体" w:hAnsi="宋体" w:cs="宋体"/>
                <w:spacing w:val="-4"/>
                <w:sz w:val="24"/>
                <w:szCs w:val="24"/>
              </w:rPr>
              <w:t>普通螺纹的公差与配合；</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4</w:t>
            </w:r>
            <w:r>
              <w:rPr>
                <w:rFonts w:hint="eastAsia" w:ascii="宋体" w:hAnsi="宋体" w:cs="宋体"/>
                <w:spacing w:val="-4"/>
                <w:sz w:val="24"/>
                <w:szCs w:val="24"/>
              </w:rPr>
              <w:t>.</w:t>
            </w:r>
            <w:r>
              <w:rPr>
                <w:rFonts w:ascii="宋体" w:hAnsi="宋体" w:cs="宋体"/>
                <w:spacing w:val="-4"/>
                <w:sz w:val="24"/>
                <w:szCs w:val="24"/>
              </w:rPr>
              <w:t>掌握螺纹综合</w:t>
            </w:r>
            <w:r>
              <w:rPr>
                <w:rFonts w:hint="eastAsia" w:ascii="宋体" w:hAnsi="宋体" w:cs="宋体"/>
                <w:spacing w:val="-4"/>
                <w:sz w:val="24"/>
                <w:szCs w:val="24"/>
              </w:rPr>
              <w:t>检测</w:t>
            </w:r>
            <w:r>
              <w:rPr>
                <w:rFonts w:ascii="宋体" w:hAnsi="宋体" w:cs="宋体"/>
                <w:spacing w:val="-4"/>
                <w:sz w:val="24"/>
                <w:szCs w:val="24"/>
              </w:rPr>
              <w:t>的一般方法</w:t>
            </w:r>
            <w:r>
              <w:rPr>
                <w:rFonts w:hint="eastAsia" w:ascii="宋体" w:hAnsi="宋体" w:cs="宋体"/>
                <w:spacing w:val="-4"/>
                <w:sz w:val="24"/>
                <w:szCs w:val="24"/>
              </w:rPr>
              <w:t>，</w:t>
            </w:r>
            <w:r>
              <w:rPr>
                <w:rFonts w:ascii="宋体" w:hAnsi="宋体" w:cs="宋体"/>
                <w:spacing w:val="-4"/>
                <w:sz w:val="24"/>
                <w:szCs w:val="24"/>
              </w:rPr>
              <w:t>会使用螺纹量规检测螺纹并进行合格性判断</w:t>
            </w:r>
            <w:r>
              <w:rPr>
                <w:rFonts w:hint="eastAsia" w:ascii="宋体" w:hAnsi="宋体" w:cs="宋体"/>
                <w:spacing w:val="-4"/>
                <w:sz w:val="24"/>
                <w:szCs w:val="24"/>
              </w:rPr>
              <w:t>；</w:t>
            </w:r>
          </w:p>
          <w:p>
            <w:pPr>
              <w:pStyle w:val="19"/>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5.了解滚动</w:t>
            </w:r>
            <w:r>
              <w:rPr>
                <w:rFonts w:ascii="宋体" w:hAnsi="宋体" w:cs="宋体"/>
                <w:spacing w:val="-4"/>
                <w:sz w:val="24"/>
                <w:szCs w:val="24"/>
              </w:rPr>
              <w:t>轴承配合件公差及</w:t>
            </w:r>
            <w:r>
              <w:rPr>
                <w:rFonts w:hint="eastAsia" w:ascii="宋体" w:hAnsi="宋体" w:cs="宋体"/>
                <w:spacing w:val="-4"/>
                <w:sz w:val="24"/>
                <w:szCs w:val="24"/>
              </w:rPr>
              <w:t>选用</w:t>
            </w:r>
            <w:r>
              <w:rPr>
                <w:rFonts w:ascii="宋体" w:hAnsi="宋体" w:cs="宋体"/>
                <w:spacing w:val="-4"/>
                <w:sz w:val="24"/>
                <w:szCs w:val="24"/>
              </w:rPr>
              <w:t>规则；</w:t>
            </w:r>
          </w:p>
          <w:p>
            <w:pPr>
              <w:pStyle w:val="19"/>
              <w:widowControl w:val="0"/>
              <w:adjustRightInd/>
              <w:snapToGrid/>
              <w:ind w:left="232" w:hanging="232" w:hangingChars="100"/>
              <w:contextualSpacing/>
              <w:jc w:val="both"/>
              <w:rPr>
                <w:rFonts w:ascii="宋体" w:hAnsi="宋体" w:cs="宋体"/>
                <w:spacing w:val="-4"/>
                <w:sz w:val="24"/>
                <w:szCs w:val="24"/>
              </w:rPr>
            </w:pPr>
            <w:r>
              <w:rPr>
                <w:rFonts w:hint="eastAsia" w:ascii="宋体" w:hAnsi="宋体" w:cs="宋体"/>
                <w:spacing w:val="-4"/>
                <w:sz w:val="24"/>
                <w:szCs w:val="24"/>
              </w:rPr>
              <w:t>6</w:t>
            </w:r>
            <w:r>
              <w:rPr>
                <w:rFonts w:ascii="宋体" w:hAnsi="宋体" w:cs="宋体"/>
                <w:spacing w:val="-4"/>
                <w:sz w:val="24"/>
                <w:szCs w:val="24"/>
              </w:rPr>
              <w:t>.</w:t>
            </w:r>
            <w:r>
              <w:rPr>
                <w:rFonts w:hint="eastAsia" w:ascii="宋体" w:hAnsi="宋体" w:cs="宋体"/>
                <w:spacing w:val="-4"/>
                <w:sz w:val="24"/>
                <w:szCs w:val="24"/>
              </w:rPr>
              <w:t>了解</w:t>
            </w:r>
            <w:r>
              <w:rPr>
                <w:rFonts w:ascii="宋体" w:hAnsi="宋体" w:cs="宋体"/>
                <w:spacing w:val="-4"/>
                <w:sz w:val="24"/>
                <w:szCs w:val="24"/>
              </w:rPr>
              <w:t>普通平键的公差</w:t>
            </w:r>
            <w:r>
              <w:rPr>
                <w:rFonts w:hint="eastAsia" w:ascii="宋体" w:hAnsi="宋体" w:cs="宋体"/>
                <w:spacing w:val="-4"/>
                <w:sz w:val="24"/>
                <w:szCs w:val="24"/>
              </w:rPr>
              <w:t>与</w:t>
            </w:r>
            <w:r>
              <w:rPr>
                <w:rFonts w:ascii="宋体" w:hAnsi="宋体" w:cs="宋体"/>
                <w:spacing w:val="-4"/>
                <w:sz w:val="24"/>
                <w:szCs w:val="24"/>
              </w:rPr>
              <w:t>配合</w:t>
            </w:r>
          </w:p>
        </w:tc>
        <w:tc>
          <w:tcPr>
            <w:tcW w:w="824" w:type="dxa"/>
            <w:vAlign w:val="center"/>
          </w:tcPr>
          <w:p>
            <w:pPr>
              <w:widowControl/>
              <w:topLinePunct/>
              <w:jc w:val="center"/>
              <w:rPr>
                <w:rFonts w:ascii="宋体" w:hAnsi="宋体"/>
                <w:sz w:val="24"/>
              </w:rPr>
            </w:pPr>
            <w:r>
              <w:rPr>
                <w:rFonts w:ascii="宋体" w:hAnsi="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restart"/>
            <w:vAlign w:val="center"/>
          </w:tcPr>
          <w:p>
            <w:pPr>
              <w:widowControl/>
              <w:topLinePunct/>
              <w:jc w:val="center"/>
              <w:rPr>
                <w:rFonts w:ascii="宋体" w:hAnsi="宋体" w:cs="宋体"/>
                <w:kern w:val="0"/>
                <w:sz w:val="24"/>
              </w:rPr>
            </w:pPr>
            <w:r>
              <w:rPr>
                <w:rFonts w:hint="eastAsia" w:ascii="宋体" w:hAnsi="宋体"/>
                <w:sz w:val="24"/>
              </w:rPr>
              <w:t>表面粗糙度</w:t>
            </w:r>
          </w:p>
        </w:tc>
        <w:tc>
          <w:tcPr>
            <w:tcW w:w="1432" w:type="dxa"/>
            <w:vAlign w:val="center"/>
          </w:tcPr>
          <w:p>
            <w:pPr>
              <w:widowControl/>
              <w:topLinePunct/>
              <w:jc w:val="center"/>
              <w:rPr>
                <w:rFonts w:ascii="宋体" w:hAnsi="宋体" w:cs="宋体"/>
                <w:kern w:val="0"/>
                <w:sz w:val="24"/>
              </w:rPr>
            </w:pPr>
            <w:r>
              <w:rPr>
                <w:rFonts w:hint="eastAsia" w:ascii="宋体" w:hAnsi="宋体"/>
                <w:bCs/>
                <w:sz w:val="24"/>
              </w:rPr>
              <w:t>表面粗糙度</w:t>
            </w:r>
            <w:r>
              <w:rPr>
                <w:rFonts w:ascii="宋体" w:hAnsi="宋体"/>
                <w:bCs/>
                <w:sz w:val="24"/>
              </w:rPr>
              <w:t>的识读</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1.理解表面粗糙度概念；</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2.熟悉表面粗糙度参数值及选用；</w:t>
            </w:r>
          </w:p>
        </w:tc>
        <w:tc>
          <w:tcPr>
            <w:tcW w:w="824" w:type="dxa"/>
            <w:vMerge w:val="restart"/>
            <w:vAlign w:val="center"/>
          </w:tcPr>
          <w:p>
            <w:pPr>
              <w:widowControl/>
              <w:topLinePunct/>
              <w:jc w:val="center"/>
              <w:rPr>
                <w:rFonts w:ascii="宋体" w:hAnsi="宋体"/>
                <w:sz w:val="24"/>
              </w:rPr>
            </w:pPr>
            <w:r>
              <w:rPr>
                <w:rFonts w:ascii="宋体" w:hAnsi="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31" w:type="dxa"/>
            <w:vMerge w:val="continue"/>
            <w:vAlign w:val="center"/>
          </w:tcPr>
          <w:p>
            <w:pPr>
              <w:widowControl/>
              <w:topLinePunct/>
              <w:jc w:val="center"/>
              <w:rPr>
                <w:rFonts w:ascii="宋体" w:hAnsi="宋体"/>
                <w:sz w:val="24"/>
              </w:rPr>
            </w:pPr>
          </w:p>
        </w:tc>
        <w:tc>
          <w:tcPr>
            <w:tcW w:w="1432" w:type="dxa"/>
            <w:vAlign w:val="center"/>
          </w:tcPr>
          <w:p>
            <w:pPr>
              <w:widowControl/>
              <w:topLinePunct/>
              <w:jc w:val="center"/>
              <w:rPr>
                <w:rFonts w:ascii="宋体" w:hAnsi="宋体"/>
                <w:bCs/>
                <w:sz w:val="24"/>
              </w:rPr>
            </w:pPr>
            <w:r>
              <w:rPr>
                <w:rFonts w:hint="eastAsia" w:ascii="宋体" w:hAnsi="宋体"/>
                <w:bCs/>
                <w:sz w:val="24"/>
              </w:rPr>
              <w:t>粗糙度的测量</w:t>
            </w:r>
          </w:p>
        </w:tc>
        <w:tc>
          <w:tcPr>
            <w:tcW w:w="5035" w:type="dxa"/>
            <w:vAlign w:val="center"/>
          </w:tcPr>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1.掌握表面粗糙度的表示及标注；</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2.掌握表面粗糙度的检测方法</w:t>
            </w:r>
            <w:r>
              <w:rPr>
                <w:rFonts w:hint="eastAsia" w:ascii="宋体" w:hAnsi="宋体" w:cs="宋体"/>
                <w:spacing w:val="-4"/>
                <w:sz w:val="24"/>
                <w:szCs w:val="24"/>
              </w:rPr>
              <w:t>；</w:t>
            </w:r>
          </w:p>
          <w:p>
            <w:pPr>
              <w:pStyle w:val="19"/>
              <w:widowControl w:val="0"/>
              <w:adjustRightInd/>
              <w:snapToGrid/>
              <w:ind w:left="232" w:hanging="232" w:hangingChars="100"/>
              <w:contextualSpacing/>
              <w:jc w:val="both"/>
              <w:rPr>
                <w:rFonts w:ascii="宋体" w:hAnsi="宋体" w:cs="宋体"/>
                <w:spacing w:val="-4"/>
                <w:sz w:val="24"/>
                <w:szCs w:val="24"/>
              </w:rPr>
            </w:pPr>
            <w:r>
              <w:rPr>
                <w:rFonts w:ascii="宋体" w:hAnsi="宋体" w:cs="宋体"/>
                <w:spacing w:val="-4"/>
                <w:sz w:val="24"/>
                <w:szCs w:val="24"/>
              </w:rPr>
              <w:t>3</w:t>
            </w:r>
            <w:r>
              <w:rPr>
                <w:rFonts w:hint="eastAsia" w:ascii="宋体" w:hAnsi="宋体" w:cs="宋体"/>
                <w:spacing w:val="-4"/>
                <w:sz w:val="24"/>
                <w:szCs w:val="24"/>
              </w:rPr>
              <w:t>.掌握用粗糙度样板比较测量表面粗糙度的技术，</w:t>
            </w:r>
            <w:r>
              <w:rPr>
                <w:rFonts w:ascii="宋体" w:hAnsi="宋体" w:cs="宋体"/>
                <w:spacing w:val="-4"/>
                <w:sz w:val="24"/>
                <w:szCs w:val="24"/>
              </w:rPr>
              <w:t>能</w:t>
            </w:r>
            <w:r>
              <w:rPr>
                <w:rFonts w:hint="eastAsia" w:ascii="宋体" w:hAnsi="宋体" w:cs="宋体"/>
                <w:spacing w:val="-4"/>
                <w:sz w:val="24"/>
                <w:szCs w:val="24"/>
              </w:rPr>
              <w:t>比较测量零件的粗糙度</w:t>
            </w:r>
          </w:p>
        </w:tc>
        <w:tc>
          <w:tcPr>
            <w:tcW w:w="824" w:type="dxa"/>
            <w:vMerge w:val="continue"/>
            <w:vAlign w:val="center"/>
          </w:tcPr>
          <w:p>
            <w:pPr>
              <w:widowControl/>
              <w:topLinePunct/>
              <w:jc w:val="center"/>
              <w:rPr>
                <w:rFonts w:ascii="宋体" w:hAnsi="宋体" w:cs="宋体"/>
                <w:color w:val="FF0000"/>
                <w:kern w:val="0"/>
                <w:sz w:val="24"/>
              </w:rPr>
            </w:pPr>
          </w:p>
        </w:tc>
      </w:tr>
    </w:tbl>
    <w:p>
      <w:pPr>
        <w:widowControl/>
        <w:topLinePunct/>
        <w:ind w:firstLine="562" w:firstLineChars="200"/>
        <w:rPr>
          <w:rFonts w:ascii="宋体" w:hAnsi="宋体" w:cs="宋体"/>
          <w:b/>
          <w:kern w:val="0"/>
          <w:sz w:val="28"/>
          <w:szCs w:val="28"/>
        </w:rPr>
      </w:pPr>
      <w:r>
        <w:rPr>
          <w:rFonts w:hint="eastAsia" w:ascii="宋体" w:hAnsi="宋体" w:cs="宋体"/>
          <w:b/>
          <w:kern w:val="0"/>
          <w:sz w:val="28"/>
          <w:szCs w:val="28"/>
        </w:rPr>
        <w:t>六、实施建议</w:t>
      </w:r>
    </w:p>
    <w:p>
      <w:pPr>
        <w:topLinePunct/>
        <w:ind w:firstLine="482" w:firstLineChars="200"/>
        <w:jc w:val="left"/>
        <w:rPr>
          <w:rFonts w:ascii="宋体" w:hAnsi="宋体" w:cs="仿宋"/>
          <w:b/>
          <w:sz w:val="24"/>
        </w:rPr>
      </w:pPr>
      <w:r>
        <w:rPr>
          <w:rFonts w:hint="eastAsia" w:ascii="宋体" w:hAnsi="宋体" w:cs="仿宋"/>
          <w:b/>
          <w:sz w:val="24"/>
        </w:rPr>
        <w:t>（一）教学建议</w:t>
      </w:r>
    </w:p>
    <w:p>
      <w:pPr>
        <w:topLinePunct/>
        <w:ind w:firstLine="480" w:firstLineChars="200"/>
        <w:jc w:val="left"/>
        <w:rPr>
          <w:rFonts w:ascii="宋体" w:hAnsi="宋体" w:cs="宋体"/>
          <w:sz w:val="24"/>
        </w:rPr>
      </w:pPr>
      <w:r>
        <w:rPr>
          <w:rFonts w:hint="eastAsia" w:ascii="宋体" w:hAnsi="宋体" w:cs="宋体"/>
          <w:sz w:val="24"/>
        </w:rPr>
        <w:t>1.充分</w:t>
      </w:r>
      <w:r>
        <w:rPr>
          <w:rFonts w:ascii="宋体" w:hAnsi="宋体" w:cs="宋体"/>
          <w:sz w:val="24"/>
        </w:rPr>
        <w:t>挖掘本</w:t>
      </w:r>
      <w:r>
        <w:rPr>
          <w:rFonts w:hint="eastAsia" w:ascii="宋体" w:hAnsi="宋体" w:cs="宋体"/>
          <w:sz w:val="24"/>
        </w:rPr>
        <w:t>课程</w:t>
      </w:r>
      <w:r>
        <w:rPr>
          <w:rFonts w:ascii="宋体" w:hAnsi="宋体" w:cs="宋体"/>
          <w:sz w:val="24"/>
        </w:rPr>
        <w:t>的思政元素，积极组织课程思政教育，</w:t>
      </w:r>
      <w:r>
        <w:rPr>
          <w:rFonts w:hint="eastAsia" w:ascii="宋体" w:hAnsi="宋体" w:cs="宋体"/>
          <w:sz w:val="24"/>
        </w:rPr>
        <w:t>结合常用</w:t>
      </w:r>
      <w:r>
        <w:rPr>
          <w:rFonts w:ascii="宋体" w:hAnsi="宋体" w:cs="宋体"/>
          <w:sz w:val="24"/>
        </w:rPr>
        <w:t>量具量仪的使用与维护，将立德树人贯穿于课程实施全过程。</w:t>
      </w:r>
    </w:p>
    <w:p>
      <w:pPr>
        <w:topLinePunct/>
        <w:ind w:firstLine="480" w:firstLineChars="200"/>
        <w:jc w:val="left"/>
        <w:rPr>
          <w:rFonts w:ascii="宋体" w:hAnsi="宋体" w:cs="宋体"/>
          <w:sz w:val="24"/>
        </w:rPr>
      </w:pPr>
      <w:r>
        <w:rPr>
          <w:rFonts w:ascii="宋体" w:hAnsi="宋体" w:cs="宋体"/>
          <w:sz w:val="24"/>
        </w:rPr>
        <w:t>2</w:t>
      </w:r>
      <w:r>
        <w:rPr>
          <w:rFonts w:hint="eastAsia" w:ascii="宋体" w:hAnsi="宋体" w:cs="宋体"/>
          <w:sz w:val="24"/>
        </w:rPr>
        <w:t>.贯彻以学生为中心的教学理念，发挥教师的主导作用，突出学生的主体地位，增强学生的自主学习能力。通过</w:t>
      </w:r>
      <w:r>
        <w:rPr>
          <w:rFonts w:ascii="宋体" w:hAnsi="宋体" w:cs="宋体"/>
          <w:sz w:val="24"/>
        </w:rPr>
        <w:t>分析机械</w:t>
      </w:r>
      <w:r>
        <w:rPr>
          <w:rFonts w:hint="eastAsia" w:ascii="宋体" w:hAnsi="宋体" w:cs="宋体"/>
          <w:sz w:val="24"/>
        </w:rPr>
        <w:t>零件</w:t>
      </w:r>
      <w:r>
        <w:rPr>
          <w:rFonts w:ascii="宋体" w:hAnsi="宋体" w:cs="宋体"/>
          <w:sz w:val="24"/>
        </w:rPr>
        <w:t>测量中出现的问题，</w:t>
      </w:r>
      <w:r>
        <w:rPr>
          <w:rFonts w:hint="eastAsia" w:ascii="宋体" w:hAnsi="宋体" w:cs="宋体"/>
          <w:sz w:val="24"/>
        </w:rPr>
        <w:t>研讨</w:t>
      </w:r>
      <w:r>
        <w:rPr>
          <w:rFonts w:ascii="宋体" w:hAnsi="宋体" w:cs="宋体"/>
          <w:sz w:val="24"/>
        </w:rPr>
        <w:t>企业生产</w:t>
      </w:r>
      <w:r>
        <w:rPr>
          <w:rFonts w:hint="eastAsia" w:ascii="宋体" w:hAnsi="宋体" w:cs="宋体"/>
          <w:sz w:val="24"/>
        </w:rPr>
        <w:t>中的</w:t>
      </w:r>
      <w:r>
        <w:rPr>
          <w:rFonts w:ascii="宋体" w:hAnsi="宋体" w:cs="宋体"/>
          <w:sz w:val="24"/>
        </w:rPr>
        <w:t>典型零件</w:t>
      </w:r>
      <w:r>
        <w:rPr>
          <w:rFonts w:hint="eastAsia" w:ascii="宋体" w:hAnsi="宋体" w:cs="宋体"/>
          <w:sz w:val="24"/>
        </w:rPr>
        <w:t>测量案例，组织学生开展小组合作探究学习，提高学生分析问题、解决问题能力和批判性思维能力。</w:t>
      </w:r>
    </w:p>
    <w:p>
      <w:pPr>
        <w:topLinePunct/>
        <w:ind w:firstLine="480" w:firstLineChars="200"/>
        <w:jc w:val="left"/>
        <w:rPr>
          <w:rFonts w:ascii="宋体" w:hAnsi="宋体" w:cs="宋体"/>
          <w:sz w:val="24"/>
        </w:rPr>
      </w:pPr>
      <w:r>
        <w:rPr>
          <w:rFonts w:ascii="宋体" w:hAnsi="宋体" w:cs="宋体"/>
          <w:sz w:val="24"/>
        </w:rPr>
        <w:t>3</w:t>
      </w:r>
      <w:r>
        <w:rPr>
          <w:rFonts w:hint="eastAsia" w:ascii="宋体" w:hAnsi="宋体" w:cs="宋体"/>
          <w:sz w:val="24"/>
        </w:rPr>
        <w:t>.规范实践教学，突出</w:t>
      </w:r>
      <w:r>
        <w:rPr>
          <w:rFonts w:ascii="宋体" w:hAnsi="宋体" w:cs="宋体"/>
          <w:sz w:val="24"/>
        </w:rPr>
        <w:t>机械零件</w:t>
      </w:r>
      <w:r>
        <w:rPr>
          <w:rFonts w:hint="eastAsia" w:ascii="宋体" w:hAnsi="宋体" w:cs="宋体"/>
          <w:sz w:val="24"/>
        </w:rPr>
        <w:t>测量技术和测量方法，采用软件仿真、实物演示、多媒体辅助教学等手段，增强教学的直观性，</w:t>
      </w:r>
      <w:r>
        <w:rPr>
          <w:rFonts w:ascii="宋体" w:hAnsi="宋体" w:cs="宋体"/>
          <w:sz w:val="24"/>
        </w:rPr>
        <w:t>让学生在机械测量</w:t>
      </w:r>
      <w:r>
        <w:rPr>
          <w:rFonts w:hint="eastAsia" w:ascii="宋体" w:hAnsi="宋体" w:cs="宋体"/>
          <w:sz w:val="24"/>
        </w:rPr>
        <w:t>实训</w:t>
      </w:r>
      <w:r>
        <w:rPr>
          <w:rFonts w:ascii="宋体" w:hAnsi="宋体" w:cs="宋体"/>
          <w:sz w:val="24"/>
        </w:rPr>
        <w:t>室就可以观察生产加工过程中对零件进行测量的</w:t>
      </w:r>
      <w:r>
        <w:rPr>
          <w:rFonts w:hint="eastAsia" w:ascii="宋体" w:hAnsi="宋体" w:cs="宋体"/>
          <w:sz w:val="24"/>
        </w:rPr>
        <w:t>过程；对于零件的在线及离线检测，应采用操作示范、分组练习和个性指导的方式，</w:t>
      </w:r>
      <w:r>
        <w:rPr>
          <w:rFonts w:ascii="宋体" w:hAnsi="宋体" w:cs="宋体"/>
          <w:sz w:val="24"/>
        </w:rPr>
        <w:t>强化技能训练，培养学生解决实际问题的能力</w:t>
      </w:r>
      <w:r>
        <w:rPr>
          <w:rFonts w:hint="eastAsia" w:ascii="宋体" w:hAnsi="宋体" w:cs="宋体"/>
          <w:sz w:val="24"/>
        </w:rPr>
        <w:t>。</w:t>
      </w:r>
    </w:p>
    <w:p>
      <w:pPr>
        <w:widowControl/>
        <w:topLinePunct/>
        <w:ind w:firstLine="480" w:firstLineChars="200"/>
        <w:jc w:val="left"/>
        <w:rPr>
          <w:rFonts w:ascii="宋体" w:hAnsi="宋体" w:cs="宋体"/>
          <w:sz w:val="24"/>
        </w:rPr>
      </w:pPr>
      <w:r>
        <w:rPr>
          <w:rFonts w:ascii="宋体" w:hAnsi="宋体" w:cs="宋体"/>
          <w:sz w:val="24"/>
        </w:rPr>
        <w:t>4</w:t>
      </w:r>
      <w:r>
        <w:rPr>
          <w:rFonts w:hint="eastAsia" w:ascii="宋体" w:hAnsi="宋体" w:cs="宋体"/>
          <w:sz w:val="24"/>
        </w:rPr>
        <w:t>.通过产教融合、校企合作方式，参观</w:t>
      </w:r>
      <w:r>
        <w:rPr>
          <w:rFonts w:ascii="宋体" w:hAnsi="宋体" w:cs="宋体"/>
          <w:sz w:val="24"/>
        </w:rPr>
        <w:t>企业</w:t>
      </w:r>
      <w:r>
        <w:rPr>
          <w:rFonts w:hint="eastAsia" w:ascii="宋体" w:hAnsi="宋体" w:cs="宋体"/>
          <w:sz w:val="24"/>
        </w:rPr>
        <w:t>机械零件测量现场</w:t>
      </w:r>
      <w:r>
        <w:rPr>
          <w:rFonts w:ascii="宋体" w:hAnsi="宋体" w:cs="宋体"/>
          <w:sz w:val="24"/>
        </w:rPr>
        <w:t>，</w:t>
      </w:r>
      <w:r>
        <w:rPr>
          <w:rFonts w:hint="eastAsia" w:ascii="宋体" w:hAnsi="宋体" w:cs="宋体"/>
          <w:sz w:val="24"/>
        </w:rPr>
        <w:t>开展专业体验教学和实践教学。</w:t>
      </w:r>
      <w:r>
        <w:rPr>
          <w:rFonts w:ascii="宋体" w:hAnsi="宋体" w:cs="宋体"/>
          <w:sz w:val="24"/>
        </w:rPr>
        <w:t>在学生掌握了传统测量仪器和测量方法之后，根据学校实际情况</w:t>
      </w:r>
      <w:r>
        <w:rPr>
          <w:rFonts w:hint="eastAsia" w:ascii="宋体" w:hAnsi="宋体" w:cs="宋体"/>
          <w:sz w:val="24"/>
        </w:rPr>
        <w:t>适当</w:t>
      </w:r>
      <w:r>
        <w:rPr>
          <w:rFonts w:ascii="宋体" w:hAnsi="宋体" w:cs="宋体"/>
          <w:sz w:val="24"/>
        </w:rPr>
        <w:t>增加拓展模块，比如三坐标测量仪等，帮助学生了解前沿现代测量技术。</w:t>
      </w:r>
    </w:p>
    <w:p>
      <w:pPr>
        <w:widowControl/>
        <w:topLinePunct/>
        <w:ind w:firstLine="480" w:firstLineChars="200"/>
        <w:jc w:val="left"/>
        <w:rPr>
          <w:rFonts w:ascii="宋体" w:hAnsi="宋体" w:cs="宋体"/>
          <w:sz w:val="24"/>
        </w:rPr>
      </w:pPr>
      <w:r>
        <w:rPr>
          <w:rFonts w:ascii="宋体" w:hAnsi="宋体" w:cs="宋体"/>
          <w:sz w:val="24"/>
        </w:rPr>
        <w:t>5</w:t>
      </w:r>
      <w:r>
        <w:rPr>
          <w:rFonts w:hint="eastAsia" w:ascii="宋体" w:hAnsi="宋体" w:cs="宋体"/>
          <w:sz w:val="24"/>
        </w:rPr>
        <w:t>.要关注先进测量技术</w:t>
      </w:r>
      <w:r>
        <w:rPr>
          <w:rFonts w:ascii="宋体" w:hAnsi="宋体" w:cs="宋体"/>
          <w:sz w:val="24"/>
        </w:rPr>
        <w:t>的</w:t>
      </w:r>
      <w:r>
        <w:rPr>
          <w:rFonts w:hint="eastAsia" w:ascii="宋体" w:hAnsi="宋体" w:cs="宋体"/>
          <w:sz w:val="24"/>
        </w:rPr>
        <w:t>发展趋势，将相关职业标准、行业标准中的技术要求、工艺流程、管理规范等融入课程教学内容。要将测量仪器维护与保养、工作规范和安全操作规程等内容融入到相关教学实践中，让学生形成良好的职业习惯和职业素养，培养</w:t>
      </w:r>
      <w:r>
        <w:rPr>
          <w:rFonts w:ascii="宋体" w:hAnsi="宋体" w:cs="宋体"/>
          <w:sz w:val="24"/>
        </w:rPr>
        <w:t>精益</w:t>
      </w:r>
      <w:r>
        <w:rPr>
          <w:rFonts w:hint="eastAsia" w:ascii="宋体" w:hAnsi="宋体" w:cs="宋体"/>
          <w:sz w:val="24"/>
        </w:rPr>
        <w:t>求精和</w:t>
      </w:r>
      <w:r>
        <w:rPr>
          <w:rFonts w:ascii="宋体" w:hAnsi="宋体" w:cs="宋体"/>
          <w:sz w:val="24"/>
        </w:rPr>
        <w:t>严谨务实的职业精神</w:t>
      </w:r>
      <w:r>
        <w:rPr>
          <w:rFonts w:hint="eastAsia" w:ascii="宋体" w:hAnsi="宋体" w:cs="宋体"/>
          <w:sz w:val="24"/>
        </w:rPr>
        <w:t>。</w:t>
      </w:r>
    </w:p>
    <w:p>
      <w:pPr>
        <w:topLinePunct/>
        <w:ind w:firstLine="482" w:firstLineChars="200"/>
        <w:jc w:val="left"/>
        <w:rPr>
          <w:rFonts w:ascii="宋体" w:hAnsi="宋体" w:cs="仿宋"/>
          <w:b/>
          <w:sz w:val="24"/>
        </w:rPr>
      </w:pPr>
      <w:r>
        <w:rPr>
          <w:rFonts w:hint="eastAsia" w:ascii="宋体" w:hAnsi="宋体" w:cs="仿宋"/>
          <w:b/>
          <w:sz w:val="24"/>
        </w:rPr>
        <w:t>（二）评价建议</w:t>
      </w:r>
    </w:p>
    <w:p>
      <w:pPr>
        <w:topLinePunct/>
        <w:ind w:firstLine="480" w:firstLineChars="200"/>
        <w:rPr>
          <w:rFonts w:ascii="宋体" w:hAnsi="宋体" w:cs="宋体"/>
          <w:sz w:val="24"/>
        </w:rPr>
      </w:pPr>
      <w:r>
        <w:rPr>
          <w:rFonts w:hint="eastAsia" w:ascii="宋体" w:hAnsi="宋体"/>
          <w:sz w:val="24"/>
        </w:rPr>
        <w:t>1</w:t>
      </w:r>
      <w:r>
        <w:rPr>
          <w:rFonts w:hint="eastAsia" w:ascii="宋体" w:hAnsi="宋体" w:cs="宋体"/>
          <w:sz w:val="24"/>
        </w:rPr>
        <w:t>.树立正确的质量观，突出评价的教育功能和导向功能，强化以育人为目标的考核评价。注重过程评价与结果评价并重、定性评价与定量评价相结合，要充分发挥评价的激励作用。</w:t>
      </w:r>
    </w:p>
    <w:p>
      <w:pPr>
        <w:topLinePunct/>
        <w:ind w:firstLine="480" w:firstLineChars="200"/>
        <w:rPr>
          <w:rFonts w:ascii="宋体" w:hAnsi="宋体" w:cs="宋体"/>
          <w:sz w:val="24"/>
        </w:rPr>
      </w:pPr>
      <w:r>
        <w:rPr>
          <w:rFonts w:ascii="宋体" w:hAnsi="宋体" w:cs="宋体"/>
          <w:sz w:val="24"/>
        </w:rPr>
        <w:t>2.</w:t>
      </w:r>
      <w:r>
        <w:rPr>
          <w:rFonts w:hint="eastAsia" w:ascii="宋体" w:hAnsi="宋体" w:cs="宋体"/>
          <w:sz w:val="24"/>
        </w:rPr>
        <w:t>发挥教师、学生、家长、实训基地人员、企业技术人员、行业专家以及专业建设指导机构等不同评价主体在评价中的作用。强化以育人为目标的全面评价，既要评价学生对知识的理解、把握、运用和融会贯通的能力</w:t>
      </w:r>
      <w:r>
        <w:rPr>
          <w:rFonts w:ascii="宋体" w:hAnsi="宋体" w:cs="宋体"/>
          <w:sz w:val="24"/>
        </w:rPr>
        <w:t>,</w:t>
      </w:r>
      <w:r>
        <w:rPr>
          <w:rFonts w:hint="eastAsia" w:ascii="宋体" w:hAnsi="宋体" w:cs="宋体"/>
          <w:sz w:val="24"/>
        </w:rPr>
        <w:t>也要评价机械</w:t>
      </w:r>
      <w:r>
        <w:rPr>
          <w:rFonts w:ascii="宋体" w:hAnsi="宋体" w:cs="宋体"/>
          <w:sz w:val="24"/>
        </w:rPr>
        <w:t>零件测量以及量具</w:t>
      </w:r>
      <w:r>
        <w:rPr>
          <w:rFonts w:hint="eastAsia" w:ascii="宋体" w:hAnsi="宋体" w:cs="宋体"/>
          <w:sz w:val="24"/>
        </w:rPr>
        <w:t>、</w:t>
      </w:r>
      <w:r>
        <w:rPr>
          <w:rFonts w:ascii="宋体" w:hAnsi="宋体" w:cs="宋体"/>
          <w:sz w:val="24"/>
        </w:rPr>
        <w:t>量仪</w:t>
      </w:r>
      <w:r>
        <w:rPr>
          <w:rFonts w:hint="eastAsia" w:ascii="宋体" w:hAnsi="宋体" w:cs="宋体"/>
          <w:sz w:val="24"/>
        </w:rPr>
        <w:t>等的</w:t>
      </w:r>
      <w:r>
        <w:rPr>
          <w:rFonts w:ascii="宋体" w:hAnsi="宋体" w:cs="宋体"/>
          <w:sz w:val="24"/>
        </w:rPr>
        <w:t>使用</w:t>
      </w:r>
      <w:r>
        <w:rPr>
          <w:rFonts w:hint="eastAsia" w:ascii="宋体" w:hAnsi="宋体" w:cs="宋体"/>
          <w:sz w:val="24"/>
        </w:rPr>
        <w:t>规范要求，更要评价其爱岗敬业精神与意志的养成。</w:t>
      </w:r>
    </w:p>
    <w:p>
      <w:pPr>
        <w:topLinePunct/>
        <w:ind w:firstLine="480" w:firstLineChars="200"/>
        <w:rPr>
          <w:rFonts w:ascii="宋体" w:hAnsi="宋体" w:cs="宋体"/>
          <w:sz w:val="24"/>
        </w:rPr>
      </w:pPr>
      <w:r>
        <w:rPr>
          <w:rFonts w:ascii="宋体" w:hAnsi="宋体" w:cs="宋体"/>
          <w:sz w:val="24"/>
        </w:rPr>
        <w:t>3.</w:t>
      </w:r>
      <w:r>
        <w:rPr>
          <w:rFonts w:hint="eastAsia" w:ascii="宋体" w:hAnsi="宋体" w:cs="宋体"/>
          <w:sz w:val="24"/>
        </w:rPr>
        <w:t>根据不同的学习内容，选择随堂测验、阶段测验、案例分析、技能考核、方案设计、调查报告、实习报告等各具特色的评价方法。</w:t>
      </w:r>
    </w:p>
    <w:p>
      <w:pPr>
        <w:topLinePunct/>
        <w:ind w:firstLine="480" w:firstLineChars="200"/>
        <w:rPr>
          <w:rFonts w:ascii="宋体" w:hAnsi="宋体"/>
          <w:bCs/>
          <w:sz w:val="24"/>
        </w:rPr>
      </w:pPr>
      <w:r>
        <w:rPr>
          <w:rFonts w:ascii="宋体" w:hAnsi="宋体"/>
          <w:bCs/>
          <w:sz w:val="24"/>
        </w:rPr>
        <w:t>4</w:t>
      </w:r>
      <w:r>
        <w:rPr>
          <w:rFonts w:hint="eastAsia" w:ascii="宋体" w:hAnsi="宋体"/>
          <w:bCs/>
          <w:sz w:val="24"/>
        </w:rPr>
        <w:t>.注重将评价结果及时、客观地反馈给学生，指出被评价者需要改进的方面，商讨改进的途径和方法，调动学生的学习积极性，对学生的创新思维与实践要充分肯定、有效引导，保护学生的自尊心，激发学生的自信心。</w:t>
      </w:r>
    </w:p>
    <w:p>
      <w:pPr>
        <w:topLinePunct/>
        <w:ind w:firstLine="482" w:firstLineChars="200"/>
        <w:jc w:val="left"/>
        <w:rPr>
          <w:rFonts w:ascii="宋体" w:hAnsi="宋体" w:cs="仿宋"/>
          <w:b/>
          <w:sz w:val="24"/>
        </w:rPr>
      </w:pPr>
      <w:r>
        <w:rPr>
          <w:rFonts w:hint="eastAsia" w:ascii="宋体" w:hAnsi="宋体" w:cs="仿宋"/>
          <w:b/>
          <w:sz w:val="24"/>
        </w:rPr>
        <w:t>（三）教材编写和选用建议</w:t>
      </w:r>
    </w:p>
    <w:p>
      <w:pPr>
        <w:topLinePunct/>
        <w:ind w:firstLine="480" w:firstLineChars="200"/>
        <w:jc w:val="left"/>
        <w:rPr>
          <w:rFonts w:ascii="宋体" w:hAnsi="宋体" w:cs="宋体"/>
          <w:sz w:val="24"/>
        </w:rPr>
      </w:pPr>
      <w:r>
        <w:rPr>
          <w:rFonts w:hint="eastAsia" w:ascii="宋体" w:hAnsi="宋体" w:cs="宋体"/>
          <w:sz w:val="24"/>
        </w:rPr>
        <w:t>1.教材编写与选用必须依据本标准。</w:t>
      </w:r>
    </w:p>
    <w:p>
      <w:pPr>
        <w:topLinePunct/>
        <w:ind w:firstLine="480" w:firstLineChars="200"/>
        <w:jc w:val="left"/>
        <w:rPr>
          <w:rFonts w:ascii="宋体" w:hAnsi="宋体" w:cs="宋体"/>
          <w:sz w:val="24"/>
        </w:rPr>
      </w:pPr>
      <w:r>
        <w:rPr>
          <w:rFonts w:hint="eastAsia" w:ascii="宋体" w:hAnsi="宋体" w:cs="宋体"/>
          <w:sz w:val="24"/>
        </w:rPr>
        <w:t>2.教材内容应引入行业发展的新知识、新技术、新工艺等内容，将行业企业职业岗位要求引入教材内容，合理编排教材的内容。在难度上要有一定的梯度，既要面向全体学生，也要考虑学生发展的差异性、满足不同学生需求。</w:t>
      </w:r>
    </w:p>
    <w:p>
      <w:pPr>
        <w:topLinePunct/>
        <w:ind w:firstLine="480" w:firstLineChars="200"/>
        <w:jc w:val="left"/>
        <w:rPr>
          <w:rFonts w:ascii="宋体" w:hAnsi="宋体" w:cs="宋体"/>
          <w:sz w:val="24"/>
        </w:rPr>
      </w:pPr>
      <w:r>
        <w:rPr>
          <w:rFonts w:hint="eastAsia" w:ascii="宋体" w:hAnsi="宋体" w:cs="宋体"/>
          <w:sz w:val="24"/>
        </w:rPr>
        <w:t>3.教材呈现方式应符合中职生的年龄特征与认知规律，图文并茂，增强学生阅读教材的兴趣，为学生提供思考的空间。</w:t>
      </w:r>
    </w:p>
    <w:p>
      <w:pPr>
        <w:topLinePunct/>
        <w:ind w:firstLine="482" w:firstLineChars="200"/>
        <w:jc w:val="left"/>
        <w:rPr>
          <w:rFonts w:ascii="宋体" w:hAnsi="宋体" w:cs="仿宋"/>
          <w:b/>
          <w:sz w:val="24"/>
        </w:rPr>
      </w:pPr>
      <w:r>
        <w:rPr>
          <w:rFonts w:hint="eastAsia" w:ascii="宋体" w:hAnsi="宋体" w:cs="仿宋"/>
          <w:b/>
          <w:sz w:val="24"/>
        </w:rPr>
        <w:t>（四）课程资源开发与利用建议</w:t>
      </w:r>
    </w:p>
    <w:p>
      <w:pPr>
        <w:topLinePunct/>
        <w:adjustRightInd w:val="0"/>
        <w:ind w:firstLine="480" w:firstLineChars="200"/>
        <w:jc w:val="left"/>
        <w:rPr>
          <w:rFonts w:ascii="宋体" w:hAnsi="宋体" w:cs="宋体"/>
          <w:sz w:val="24"/>
        </w:rPr>
      </w:pPr>
      <w:r>
        <w:rPr>
          <w:rFonts w:hint="eastAsia" w:ascii="宋体" w:hAnsi="宋体" w:cs="宋体"/>
          <w:sz w:val="24"/>
        </w:rPr>
        <w:t>1.学校专业教师和企业专家，共同开发与建设教学资源共享平台。通过校企</w:t>
      </w:r>
      <w:r>
        <w:rPr>
          <w:rFonts w:ascii="宋体" w:hAnsi="宋体" w:cs="宋体"/>
          <w:sz w:val="24"/>
        </w:rPr>
        <w:t>共建培训中心、企业学习岛等形式</w:t>
      </w:r>
      <w:r>
        <w:rPr>
          <w:rFonts w:hint="eastAsia" w:ascii="宋体" w:hAnsi="宋体" w:cs="宋体"/>
          <w:sz w:val="24"/>
        </w:rPr>
        <w:t>建立稳定的校外实训基地，为指导学生课外自主实践提供帮助。</w:t>
      </w:r>
    </w:p>
    <w:p>
      <w:pPr>
        <w:topLinePunct/>
        <w:adjustRightInd w:val="0"/>
        <w:ind w:firstLine="480" w:firstLineChars="200"/>
        <w:jc w:val="left"/>
        <w:rPr>
          <w:rFonts w:ascii="宋体" w:hAnsi="宋体" w:cs="宋体"/>
          <w:sz w:val="24"/>
        </w:rPr>
      </w:pPr>
      <w:r>
        <w:rPr>
          <w:rFonts w:hint="eastAsia" w:ascii="宋体" w:hAnsi="宋体" w:cs="宋体"/>
          <w:sz w:val="24"/>
        </w:rPr>
        <w:t>2.积极开发和利用网络课程资源，充分发挥现代信息技术优势，实现教学资源和成果共享。</w:t>
      </w:r>
    </w:p>
    <w:p>
      <w:pPr>
        <w:topLinePunct/>
        <w:adjustRightInd w:val="0"/>
        <w:ind w:firstLine="480" w:firstLineChars="200"/>
        <w:jc w:val="left"/>
        <w:rPr>
          <w:rFonts w:ascii="宋体" w:hAnsi="宋体" w:cs="宋体"/>
          <w:sz w:val="24"/>
        </w:rPr>
      </w:pPr>
      <w:r>
        <w:rPr>
          <w:rFonts w:hint="eastAsia" w:ascii="宋体" w:hAnsi="宋体" w:cs="宋体"/>
          <w:sz w:val="24"/>
        </w:rPr>
        <w:t>3.教师要紧跟时代，充分利用网络资源，开发教学案例，收集</w:t>
      </w:r>
      <w:r>
        <w:rPr>
          <w:rFonts w:hint="eastAsia" w:ascii="宋体" w:hAnsi="宋体"/>
          <w:sz w:val="24"/>
        </w:rPr>
        <w:t>生产现场的在线检测情境、操作规程、质量检验单、先进检测设备</w:t>
      </w:r>
      <w:r>
        <w:rPr>
          <w:rFonts w:hint="eastAsia" w:ascii="宋体" w:hAnsi="宋体" w:cs="宋体"/>
          <w:sz w:val="24"/>
        </w:rPr>
        <w:t>等相关动态案例，提升教与学效果。</w:t>
      </w:r>
    </w:p>
    <w:p>
      <w:pPr>
        <w:widowControl/>
        <w:topLinePunct/>
        <w:ind w:firstLine="562" w:firstLineChars="200"/>
        <w:jc w:val="left"/>
        <w:rPr>
          <w:rFonts w:ascii="宋体" w:hAnsi="宋体" w:cs="仿宋"/>
          <w:b/>
          <w:sz w:val="24"/>
        </w:rPr>
      </w:pPr>
      <w:r>
        <w:rPr>
          <w:rFonts w:hint="eastAsia" w:ascii="宋体" w:hAnsi="宋体" w:cs="宋体"/>
          <w:b/>
          <w:kern w:val="0"/>
          <w:sz w:val="28"/>
          <w:szCs w:val="28"/>
        </w:rPr>
        <w:t>七、说明</w:t>
      </w:r>
    </w:p>
    <w:p>
      <w:pPr>
        <w:widowControl/>
        <w:topLinePunct/>
        <w:ind w:firstLine="480" w:firstLineChars="200"/>
        <w:jc w:val="left"/>
        <w:rPr>
          <w:rFonts w:ascii="宋体" w:hAnsi="宋体"/>
          <w:bCs/>
          <w:sz w:val="24"/>
        </w:rPr>
      </w:pPr>
      <w:r>
        <w:rPr>
          <w:rFonts w:hint="eastAsia" w:ascii="宋体" w:hAnsi="宋体" w:cs="宋体"/>
          <w:bCs/>
          <w:kern w:val="0"/>
          <w:sz w:val="24"/>
        </w:rPr>
        <w:t>本标准依据《江苏省中等职业学校机械类</w:t>
      </w:r>
      <w:r>
        <w:rPr>
          <w:rFonts w:hint="eastAsia" w:ascii="宋体" w:hAnsi="宋体" w:cs="宋体"/>
          <w:kern w:val="0"/>
          <w:sz w:val="24"/>
        </w:rPr>
        <w:t>机械加工技术</w:t>
      </w:r>
      <w:r>
        <w:rPr>
          <w:rFonts w:hint="eastAsia" w:ascii="宋体" w:hAnsi="宋体" w:cs="宋体"/>
          <w:bCs/>
          <w:kern w:val="0"/>
          <w:sz w:val="24"/>
        </w:rPr>
        <w:t>专业指导性人才培养方案》编制，</w:t>
      </w:r>
      <w:r>
        <w:rPr>
          <w:rFonts w:hint="eastAsia" w:ascii="宋体" w:hAnsi="宋体"/>
          <w:bCs/>
          <w:sz w:val="24"/>
        </w:rPr>
        <w:t>适用于江苏省中等职业学校</w:t>
      </w:r>
      <w:r>
        <w:rPr>
          <w:rFonts w:hint="eastAsia" w:ascii="宋体" w:hAnsi="宋体" w:cs="宋体"/>
          <w:bCs/>
          <w:kern w:val="0"/>
          <w:sz w:val="24"/>
        </w:rPr>
        <w:t>机械类</w:t>
      </w:r>
      <w:r>
        <w:rPr>
          <w:rFonts w:hint="eastAsia" w:ascii="宋体" w:hAnsi="宋体"/>
          <w:bCs/>
          <w:sz w:val="24"/>
        </w:rPr>
        <w:t>机械加工技术专业（三年制）学生。</w:t>
      </w:r>
    </w:p>
    <w:p>
      <w:pPr>
        <w:widowControl/>
        <w:topLinePunct/>
        <w:ind w:firstLine="480" w:firstLineChars="200"/>
        <w:jc w:val="left"/>
        <w:rPr>
          <w:rFonts w:ascii="宋体" w:hAnsi="宋体"/>
          <w:bCs/>
          <w:sz w:val="24"/>
        </w:rPr>
      </w:pPr>
    </w:p>
    <w:p>
      <w:pPr>
        <w:spacing w:line="400" w:lineRule="exact"/>
        <w:ind w:firstLine="480" w:firstLineChars="200"/>
        <w:rPr>
          <w:rFonts w:hint="eastAsia" w:ascii="楷体" w:hAnsi="楷体" w:eastAsia="楷体" w:cs="仿宋"/>
          <w:sz w:val="24"/>
        </w:rPr>
      </w:pPr>
      <w:r>
        <w:rPr>
          <w:rFonts w:hint="eastAsia" w:ascii="楷体" w:hAnsi="楷体" w:eastAsia="楷体" w:cs="仿宋"/>
          <w:sz w:val="24"/>
          <w:szCs w:val="22"/>
        </w:rPr>
        <w:t>（</w:t>
      </w:r>
      <w:r>
        <w:rPr>
          <w:rFonts w:ascii="黑体" w:hAnsi="黑体" w:eastAsia="黑体" w:cs="仿宋"/>
          <w:sz w:val="24"/>
        </w:rPr>
        <w:t>开发人员及单位：</w:t>
      </w:r>
      <w:r>
        <w:rPr>
          <w:rFonts w:hint="eastAsia" w:ascii="楷体" w:hAnsi="楷体" w:eastAsia="楷体" w:cs="仿宋"/>
          <w:sz w:val="24"/>
        </w:rPr>
        <w:t>李莹德</w:t>
      </w:r>
      <w:r>
        <w:rPr>
          <w:rFonts w:ascii="楷体" w:hAnsi="楷体" w:eastAsia="楷体" w:cs="仿宋"/>
          <w:sz w:val="24"/>
        </w:rPr>
        <w:t>，江苏省</w:t>
      </w:r>
      <w:r>
        <w:rPr>
          <w:rFonts w:hint="eastAsia" w:ascii="楷体" w:hAnsi="楷体" w:eastAsia="楷体" w:cs="仿宋"/>
          <w:sz w:val="24"/>
        </w:rPr>
        <w:t>太仓中等</w:t>
      </w:r>
      <w:r>
        <w:rPr>
          <w:rFonts w:ascii="楷体" w:hAnsi="楷体" w:eastAsia="楷体" w:cs="仿宋"/>
          <w:sz w:val="24"/>
        </w:rPr>
        <w:t>专业学校；</w:t>
      </w:r>
      <w:r>
        <w:rPr>
          <w:rFonts w:hint="eastAsia" w:ascii="楷体" w:hAnsi="楷体" w:eastAsia="楷体" w:cs="仿宋"/>
          <w:sz w:val="24"/>
        </w:rPr>
        <w:t>张宇凝</w:t>
      </w:r>
      <w:r>
        <w:rPr>
          <w:rFonts w:ascii="楷体" w:hAnsi="楷体" w:eastAsia="楷体" w:cs="仿宋"/>
          <w:sz w:val="24"/>
        </w:rPr>
        <w:t>，江苏省</w:t>
      </w:r>
      <w:r>
        <w:rPr>
          <w:rFonts w:hint="eastAsia" w:ascii="楷体" w:hAnsi="楷体" w:eastAsia="楷体" w:cs="仿宋"/>
          <w:sz w:val="24"/>
        </w:rPr>
        <w:t>太仓中等</w:t>
      </w:r>
      <w:r>
        <w:rPr>
          <w:rFonts w:ascii="楷体" w:hAnsi="楷体" w:eastAsia="楷体" w:cs="仿宋"/>
          <w:sz w:val="24"/>
        </w:rPr>
        <w:t>专业学校；</w:t>
      </w:r>
      <w:r>
        <w:rPr>
          <w:rFonts w:hint="eastAsia" w:ascii="楷体" w:hAnsi="楷体" w:eastAsia="楷体" w:cs="仿宋"/>
          <w:sz w:val="24"/>
        </w:rPr>
        <w:t>程丽娟</w:t>
      </w:r>
      <w:r>
        <w:rPr>
          <w:rFonts w:ascii="楷体" w:hAnsi="楷体" w:eastAsia="楷体" w:cs="仿宋"/>
          <w:sz w:val="24"/>
        </w:rPr>
        <w:t>，江苏省</w:t>
      </w:r>
      <w:r>
        <w:rPr>
          <w:rFonts w:hint="eastAsia" w:ascii="楷体" w:hAnsi="楷体" w:eastAsia="楷体" w:cs="仿宋"/>
          <w:sz w:val="24"/>
        </w:rPr>
        <w:t>太仓中等</w:t>
      </w:r>
      <w:r>
        <w:rPr>
          <w:rFonts w:ascii="楷体" w:hAnsi="楷体" w:eastAsia="楷体" w:cs="仿宋"/>
          <w:sz w:val="24"/>
        </w:rPr>
        <w:t>专业学校；</w:t>
      </w:r>
      <w:r>
        <w:rPr>
          <w:rFonts w:hint="eastAsia" w:ascii="楷体" w:hAnsi="楷体" w:eastAsia="楷体" w:cs="仿宋"/>
          <w:sz w:val="24"/>
        </w:rPr>
        <w:t>周伟娟</w:t>
      </w:r>
      <w:r>
        <w:rPr>
          <w:rFonts w:ascii="楷体" w:hAnsi="楷体" w:eastAsia="楷体" w:cs="仿宋"/>
          <w:sz w:val="24"/>
        </w:rPr>
        <w:t>，</w:t>
      </w:r>
      <w:r>
        <w:rPr>
          <w:rFonts w:hint="eastAsia" w:ascii="楷体" w:hAnsi="楷体" w:eastAsia="楷体" w:cs="仿宋"/>
          <w:sz w:val="24"/>
        </w:rPr>
        <w:t>江苏省惠山中等专业学校；</w:t>
      </w:r>
      <w:r>
        <w:rPr>
          <w:rFonts w:ascii="楷体" w:hAnsi="楷体" w:eastAsia="楷体" w:cs="仿宋"/>
          <w:sz w:val="24"/>
        </w:rPr>
        <w:t>丁慎平</w:t>
      </w:r>
      <w:r>
        <w:rPr>
          <w:rFonts w:hint="eastAsia" w:ascii="楷体" w:hAnsi="楷体" w:eastAsia="楷体" w:cs="仿宋"/>
          <w:sz w:val="24"/>
        </w:rPr>
        <w:t>，苏州</w:t>
      </w:r>
      <w:r>
        <w:rPr>
          <w:rFonts w:ascii="楷体" w:hAnsi="楷体" w:eastAsia="楷体" w:cs="仿宋"/>
          <w:sz w:val="24"/>
        </w:rPr>
        <w:t>工业园区职业技术学院</w:t>
      </w:r>
      <w:r>
        <w:rPr>
          <w:rFonts w:hint="eastAsia" w:ascii="楷体" w:hAnsi="楷体" w:eastAsia="楷体" w:cs="仿宋"/>
          <w:sz w:val="24"/>
        </w:rPr>
        <w:t>；</w:t>
      </w:r>
      <w:r>
        <w:rPr>
          <w:rFonts w:ascii="楷体" w:hAnsi="楷体" w:eastAsia="楷体" w:cs="仿宋"/>
          <w:sz w:val="24"/>
        </w:rPr>
        <w:t>邵长孝，海瑞恩精密技术（</w:t>
      </w:r>
      <w:r>
        <w:rPr>
          <w:rFonts w:hint="eastAsia" w:ascii="楷体" w:hAnsi="楷体" w:eastAsia="楷体" w:cs="仿宋"/>
          <w:sz w:val="24"/>
        </w:rPr>
        <w:t>太仓</w:t>
      </w:r>
      <w:r>
        <w:rPr>
          <w:rFonts w:ascii="楷体" w:hAnsi="楷体" w:eastAsia="楷体" w:cs="仿宋"/>
          <w:sz w:val="24"/>
        </w:rPr>
        <w:t>）</w:t>
      </w:r>
      <w:r>
        <w:rPr>
          <w:rFonts w:hint="eastAsia" w:ascii="楷体" w:hAnsi="楷体" w:eastAsia="楷体" w:cs="仿宋"/>
          <w:sz w:val="24"/>
        </w:rPr>
        <w:t>有限</w:t>
      </w:r>
      <w:r>
        <w:rPr>
          <w:rFonts w:ascii="楷体" w:hAnsi="楷体" w:eastAsia="楷体" w:cs="仿宋"/>
          <w:sz w:val="24"/>
        </w:rPr>
        <w:t>公司）</w:t>
      </w:r>
    </w:p>
    <w:p>
      <w:pPr>
        <w:spacing w:line="400" w:lineRule="exact"/>
        <w:ind w:firstLine="480" w:firstLineChars="200"/>
        <w:rPr>
          <w:rFonts w:ascii="宋体" w:hAnsi="宋体"/>
          <w:bCs/>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85B45A"/>
    <w:multiLevelType w:val="singleLevel"/>
    <w:tmpl w:val="7785B45A"/>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M2OWRiNDFhYWJhMmI1ODAzNGY4NTU1MDVlODg0M2EifQ=="/>
  </w:docVars>
  <w:rsids>
    <w:rsidRoot w:val="3AF0199C"/>
    <w:rsid w:val="0002389A"/>
    <w:rsid w:val="000873C3"/>
    <w:rsid w:val="000C39A4"/>
    <w:rsid w:val="000D48C8"/>
    <w:rsid w:val="000F31E8"/>
    <w:rsid w:val="001339BB"/>
    <w:rsid w:val="001400B0"/>
    <w:rsid w:val="0019768D"/>
    <w:rsid w:val="001F5F5D"/>
    <w:rsid w:val="00205FDA"/>
    <w:rsid w:val="00212677"/>
    <w:rsid w:val="00231BB9"/>
    <w:rsid w:val="00241078"/>
    <w:rsid w:val="00254049"/>
    <w:rsid w:val="002769B7"/>
    <w:rsid w:val="002879FC"/>
    <w:rsid w:val="002A6DEC"/>
    <w:rsid w:val="003042E9"/>
    <w:rsid w:val="00307324"/>
    <w:rsid w:val="003B192D"/>
    <w:rsid w:val="003B4938"/>
    <w:rsid w:val="003F0E74"/>
    <w:rsid w:val="004013CD"/>
    <w:rsid w:val="00426766"/>
    <w:rsid w:val="004524C5"/>
    <w:rsid w:val="0046040F"/>
    <w:rsid w:val="00467980"/>
    <w:rsid w:val="004750EF"/>
    <w:rsid w:val="004846B9"/>
    <w:rsid w:val="004A30FC"/>
    <w:rsid w:val="004C234A"/>
    <w:rsid w:val="004E7696"/>
    <w:rsid w:val="005018F4"/>
    <w:rsid w:val="00544985"/>
    <w:rsid w:val="005768D4"/>
    <w:rsid w:val="005A35D8"/>
    <w:rsid w:val="005D07AB"/>
    <w:rsid w:val="005F656C"/>
    <w:rsid w:val="0060613A"/>
    <w:rsid w:val="00613895"/>
    <w:rsid w:val="006242EF"/>
    <w:rsid w:val="00652EDE"/>
    <w:rsid w:val="00693D56"/>
    <w:rsid w:val="006A70C1"/>
    <w:rsid w:val="006B0EB3"/>
    <w:rsid w:val="00711137"/>
    <w:rsid w:val="0074384F"/>
    <w:rsid w:val="00796525"/>
    <w:rsid w:val="007C00D6"/>
    <w:rsid w:val="007D03F4"/>
    <w:rsid w:val="007D54F8"/>
    <w:rsid w:val="007E61C4"/>
    <w:rsid w:val="007F22DD"/>
    <w:rsid w:val="0080019B"/>
    <w:rsid w:val="008456B4"/>
    <w:rsid w:val="008A05B7"/>
    <w:rsid w:val="008A4FD9"/>
    <w:rsid w:val="008A68CC"/>
    <w:rsid w:val="008B3EC4"/>
    <w:rsid w:val="008E324E"/>
    <w:rsid w:val="00936E4C"/>
    <w:rsid w:val="0094207C"/>
    <w:rsid w:val="0097586F"/>
    <w:rsid w:val="009B39E3"/>
    <w:rsid w:val="009C1E68"/>
    <w:rsid w:val="009D22CE"/>
    <w:rsid w:val="00A175DC"/>
    <w:rsid w:val="00A344EF"/>
    <w:rsid w:val="00A54D78"/>
    <w:rsid w:val="00A868CF"/>
    <w:rsid w:val="00AA41B8"/>
    <w:rsid w:val="00AC327A"/>
    <w:rsid w:val="00AC5BD0"/>
    <w:rsid w:val="00AE03C3"/>
    <w:rsid w:val="00AE737D"/>
    <w:rsid w:val="00AF0DB2"/>
    <w:rsid w:val="00B12F3A"/>
    <w:rsid w:val="00B45A80"/>
    <w:rsid w:val="00B62851"/>
    <w:rsid w:val="00B9678B"/>
    <w:rsid w:val="00BB5E4A"/>
    <w:rsid w:val="00BC772E"/>
    <w:rsid w:val="00BD21AC"/>
    <w:rsid w:val="00C405BC"/>
    <w:rsid w:val="00C470D8"/>
    <w:rsid w:val="00C554BA"/>
    <w:rsid w:val="00C849E6"/>
    <w:rsid w:val="00C9323B"/>
    <w:rsid w:val="00CB6BE2"/>
    <w:rsid w:val="00D016DE"/>
    <w:rsid w:val="00D33C05"/>
    <w:rsid w:val="00D64809"/>
    <w:rsid w:val="00DA6AE4"/>
    <w:rsid w:val="00DC304A"/>
    <w:rsid w:val="00DD0D0F"/>
    <w:rsid w:val="00DD4769"/>
    <w:rsid w:val="00DE2EC9"/>
    <w:rsid w:val="00E1246C"/>
    <w:rsid w:val="00E4126A"/>
    <w:rsid w:val="00E631DA"/>
    <w:rsid w:val="00E66487"/>
    <w:rsid w:val="00E72773"/>
    <w:rsid w:val="00E97FE2"/>
    <w:rsid w:val="00EB5FF7"/>
    <w:rsid w:val="00F12BA4"/>
    <w:rsid w:val="00F15FC0"/>
    <w:rsid w:val="00F32E5D"/>
    <w:rsid w:val="00F415BF"/>
    <w:rsid w:val="00F44382"/>
    <w:rsid w:val="00F575FB"/>
    <w:rsid w:val="00F6222D"/>
    <w:rsid w:val="00FA0F3D"/>
    <w:rsid w:val="00FD5911"/>
    <w:rsid w:val="00FD5B35"/>
    <w:rsid w:val="00FD6D1A"/>
    <w:rsid w:val="07A30BF5"/>
    <w:rsid w:val="0D551BB3"/>
    <w:rsid w:val="0F442050"/>
    <w:rsid w:val="12883EB1"/>
    <w:rsid w:val="14D60463"/>
    <w:rsid w:val="17876EEA"/>
    <w:rsid w:val="1CE3444C"/>
    <w:rsid w:val="1FAE3A63"/>
    <w:rsid w:val="245A2EC2"/>
    <w:rsid w:val="27894C97"/>
    <w:rsid w:val="28857B1A"/>
    <w:rsid w:val="2961569F"/>
    <w:rsid w:val="32916F31"/>
    <w:rsid w:val="347152C0"/>
    <w:rsid w:val="37B1373F"/>
    <w:rsid w:val="3A840D25"/>
    <w:rsid w:val="3AF0199C"/>
    <w:rsid w:val="3D8276D9"/>
    <w:rsid w:val="460B0035"/>
    <w:rsid w:val="46476B9B"/>
    <w:rsid w:val="4DB10567"/>
    <w:rsid w:val="5EE54D1D"/>
    <w:rsid w:val="68F93894"/>
    <w:rsid w:val="6CA4592D"/>
    <w:rsid w:val="77874DA3"/>
    <w:rsid w:val="7A753C6F"/>
    <w:rsid w:val="7D3E2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alloon Text"/>
    <w:basedOn w:val="1"/>
    <w:link w:val="15"/>
    <w:semiHidden/>
    <w:unhideWhenUsed/>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7">
    <w:name w:val="annotation subject"/>
    <w:basedOn w:val="2"/>
    <w:next w:val="2"/>
    <w:link w:val="17"/>
    <w:semiHidden/>
    <w:unhideWhenUsed/>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qFormat/>
    <w:uiPriority w:val="0"/>
    <w:rPr>
      <w:sz w:val="21"/>
      <w:szCs w:val="21"/>
    </w:rPr>
  </w:style>
  <w:style w:type="character" w:customStyle="1" w:styleId="12">
    <w:name w:val="页眉 Char"/>
    <w:basedOn w:val="10"/>
    <w:link w:val="5"/>
    <w:qFormat/>
    <w:uiPriority w:val="0"/>
    <w:rPr>
      <w:rFonts w:ascii="Calibri" w:hAnsi="Calibri" w:cs="黑体"/>
      <w:kern w:val="2"/>
      <w:sz w:val="18"/>
      <w:szCs w:val="18"/>
    </w:rPr>
  </w:style>
  <w:style w:type="character" w:customStyle="1" w:styleId="13">
    <w:name w:val="页脚 Char"/>
    <w:basedOn w:val="10"/>
    <w:link w:val="4"/>
    <w:qFormat/>
    <w:uiPriority w:val="0"/>
    <w:rPr>
      <w:rFonts w:ascii="Calibri" w:hAnsi="Calibri" w:cs="黑体"/>
      <w:kern w:val="2"/>
      <w:sz w:val="18"/>
      <w:szCs w:val="18"/>
    </w:rPr>
  </w:style>
  <w:style w:type="paragraph" w:styleId="14">
    <w:name w:val="List Paragraph"/>
    <w:basedOn w:val="1"/>
    <w:qFormat/>
    <w:uiPriority w:val="99"/>
    <w:pPr>
      <w:ind w:firstLine="420" w:firstLineChars="200"/>
    </w:pPr>
  </w:style>
  <w:style w:type="character" w:customStyle="1" w:styleId="15">
    <w:name w:val="批注框文本 Char"/>
    <w:basedOn w:val="10"/>
    <w:link w:val="3"/>
    <w:semiHidden/>
    <w:qFormat/>
    <w:uiPriority w:val="0"/>
    <w:rPr>
      <w:rFonts w:ascii="Calibri" w:hAnsi="Calibri" w:cs="黑体"/>
      <w:kern w:val="2"/>
      <w:sz w:val="18"/>
      <w:szCs w:val="18"/>
    </w:rPr>
  </w:style>
  <w:style w:type="character" w:customStyle="1" w:styleId="16">
    <w:name w:val="批注文字 Char"/>
    <w:basedOn w:val="10"/>
    <w:link w:val="2"/>
    <w:qFormat/>
    <w:uiPriority w:val="0"/>
    <w:rPr>
      <w:rFonts w:ascii="Calibri" w:hAnsi="Calibri" w:cs="黑体"/>
      <w:kern w:val="2"/>
      <w:sz w:val="21"/>
      <w:szCs w:val="24"/>
    </w:rPr>
  </w:style>
  <w:style w:type="character" w:customStyle="1" w:styleId="17">
    <w:name w:val="批注主题 Char"/>
    <w:basedOn w:val="16"/>
    <w:link w:val="7"/>
    <w:semiHidden/>
    <w:qFormat/>
    <w:uiPriority w:val="0"/>
    <w:rPr>
      <w:rFonts w:ascii="Calibri" w:hAnsi="Calibri" w:cs="黑体"/>
      <w:b/>
      <w:bCs/>
      <w:kern w:val="2"/>
      <w:sz w:val="21"/>
      <w:szCs w:val="24"/>
    </w:rPr>
  </w:style>
  <w:style w:type="paragraph" w:customStyle="1" w:styleId="18">
    <w:name w:val="修订1"/>
    <w:hidden/>
    <w:semiHidden/>
    <w:qFormat/>
    <w:uiPriority w:val="99"/>
    <w:rPr>
      <w:rFonts w:ascii="Calibri" w:hAnsi="Calibri" w:eastAsia="宋体" w:cs="黑体"/>
      <w:kern w:val="2"/>
      <w:sz w:val="21"/>
      <w:szCs w:val="24"/>
      <w:lang w:val="en-US" w:eastAsia="zh-CN" w:bidi="ar-SA"/>
    </w:rPr>
  </w:style>
  <w:style w:type="paragraph" w:customStyle="1" w:styleId="19">
    <w:name w:val="无间隔1"/>
    <w:qFormat/>
    <w:uiPriority w:val="99"/>
    <w:pPr>
      <w:adjustRightInd w:val="0"/>
      <w:snapToGrid w:val="0"/>
    </w:pPr>
    <w:rPr>
      <w:rFonts w:ascii="Tahoma" w:hAnsi="Tahoma" w:eastAsia="宋体" w:cs="Tahoma"/>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3765</Words>
  <Characters>3838</Characters>
  <Lines>28</Lines>
  <Paragraphs>8</Paragraphs>
  <TotalTime>18</TotalTime>
  <ScaleCrop>false</ScaleCrop>
  <LinksUpToDate>false</LinksUpToDate>
  <CharactersWithSpaces>3838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2020-11-21T02:57:00Z</dcterms:created>
  <dc:creator>初心</dc:creator>
  <cp:lastModifiedBy>片尾曲</cp:lastModifiedBy>
  <dcterms:modified xsi:type="dcterms:W3CDTF">2023-06-05T12:02:25Z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A07A07E3FF5647558C86FC01DED2977E</vt:lpwstr>
  </property>
</Properties>
</file>